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32FF3">
      <w:pPr>
        <w:pStyle w:val="4"/>
        <w:spacing w:line="360" w:lineRule="auto"/>
        <w:rPr>
          <w:rFonts w:hint="default" w:ascii="仿宋" w:hAnsi="仿宋" w:eastAsia="仿宋" w:cs="仿宋"/>
          <w:b/>
          <w:sz w:val="32"/>
          <w:szCs w:val="32"/>
          <w:lang w:val="en-US" w:eastAsia="zh-CN"/>
        </w:rPr>
      </w:pPr>
      <w:bookmarkStart w:id="0" w:name="_Toc1956"/>
      <w:bookmarkStart w:id="1" w:name="_Toc17061"/>
      <w:r>
        <w:rPr>
          <w:rFonts w:hint="eastAsia" w:ascii="仿宋" w:hAnsi="仿宋" w:eastAsia="仿宋" w:cs="仿宋"/>
          <w:b/>
          <w:sz w:val="32"/>
          <w:szCs w:val="32"/>
          <w:lang w:val="en-US" w:eastAsia="zh-CN"/>
        </w:rPr>
        <w:t>附件：</w:t>
      </w:r>
    </w:p>
    <w:p w14:paraId="34FE345E">
      <w:pPr>
        <w:pStyle w:val="4"/>
        <w:spacing w:line="360" w:lineRule="auto"/>
        <w:rPr>
          <w:rFonts w:ascii="仿宋" w:hAnsi="仿宋" w:eastAsia="仿宋" w:cs="仿宋"/>
          <w:b/>
          <w:sz w:val="32"/>
          <w:szCs w:val="32"/>
        </w:rPr>
      </w:pPr>
    </w:p>
    <w:p w14:paraId="340AA075">
      <w:pPr>
        <w:pStyle w:val="4"/>
        <w:spacing w:before="10" w:line="360" w:lineRule="auto"/>
        <w:rPr>
          <w:rFonts w:ascii="仿宋" w:hAnsi="仿宋" w:eastAsia="仿宋" w:cs="仿宋"/>
          <w:b/>
          <w:sz w:val="32"/>
          <w:szCs w:val="32"/>
        </w:rPr>
      </w:pPr>
    </w:p>
    <w:p w14:paraId="0A768E5D">
      <w:pPr>
        <w:spacing w:before="120" w:beforeLines="50" w:line="360" w:lineRule="auto"/>
        <w:jc w:val="center"/>
        <w:rPr>
          <w:rFonts w:ascii="小标宋" w:hAnsi="小标宋" w:eastAsia="小标宋" w:cs="小标宋"/>
          <w:b/>
          <w:bCs/>
          <w:sz w:val="44"/>
          <w:szCs w:val="44"/>
          <w:lang w:val="en-US"/>
        </w:rPr>
      </w:pPr>
      <w:r>
        <w:rPr>
          <w:rFonts w:hint="eastAsia" w:ascii="小标宋" w:hAnsi="小标宋" w:eastAsia="小标宋" w:cs="小标宋"/>
          <w:b/>
          <w:bCs/>
          <w:sz w:val="44"/>
          <w:szCs w:val="44"/>
          <w:lang w:val="en-US" w:eastAsia="zh-CN"/>
        </w:rPr>
        <w:t>资质</w:t>
      </w:r>
      <w:r>
        <w:rPr>
          <w:rFonts w:hint="eastAsia" w:ascii="小标宋" w:hAnsi="小标宋" w:eastAsia="小标宋" w:cs="小标宋"/>
          <w:b/>
          <w:bCs/>
          <w:sz w:val="44"/>
          <w:szCs w:val="44"/>
          <w:lang w:val="en-US"/>
        </w:rPr>
        <w:t>材料</w:t>
      </w:r>
    </w:p>
    <w:p w14:paraId="7C29AC54">
      <w:pPr>
        <w:spacing w:line="360" w:lineRule="auto"/>
        <w:ind w:right="261"/>
        <w:jc w:val="center"/>
        <w:rPr>
          <w:rFonts w:ascii="仿宋" w:hAnsi="仿宋" w:eastAsia="仿宋" w:cs="仿宋"/>
          <w:b/>
          <w:bCs/>
          <w:sz w:val="32"/>
          <w:szCs w:val="32"/>
        </w:rPr>
      </w:pPr>
    </w:p>
    <w:p w14:paraId="78040737">
      <w:pPr>
        <w:pStyle w:val="4"/>
        <w:spacing w:line="360" w:lineRule="auto"/>
        <w:rPr>
          <w:rFonts w:ascii="仿宋" w:hAnsi="仿宋" w:eastAsia="仿宋" w:cs="仿宋"/>
          <w:sz w:val="32"/>
          <w:szCs w:val="32"/>
        </w:rPr>
      </w:pPr>
    </w:p>
    <w:p w14:paraId="64FF6BD8">
      <w:pPr>
        <w:pStyle w:val="4"/>
        <w:spacing w:before="5" w:line="360" w:lineRule="auto"/>
        <w:rPr>
          <w:rFonts w:ascii="仿宋" w:hAnsi="仿宋" w:eastAsia="仿宋" w:cs="仿宋"/>
          <w:sz w:val="32"/>
          <w:szCs w:val="32"/>
        </w:rPr>
      </w:pPr>
    </w:p>
    <w:p w14:paraId="3331B334">
      <w:pPr>
        <w:tabs>
          <w:tab w:val="center" w:pos="4624"/>
          <w:tab w:val="left" w:pos="6469"/>
        </w:tabs>
        <w:spacing w:line="360" w:lineRule="auto"/>
        <w:ind w:left="2933" w:leftChars="500" w:hanging="1833" w:hangingChars="573"/>
        <w:rPr>
          <w:rFonts w:hint="eastAsia" w:ascii="仿宋" w:hAnsi="仿宋" w:eastAsia="仿宋" w:cs="仿宋"/>
          <w:bCs/>
          <w:sz w:val="32"/>
          <w:szCs w:val="32"/>
          <w:u w:val="single"/>
          <w:lang w:val="en-US" w:eastAsia="zh-CN"/>
        </w:rPr>
      </w:pPr>
      <w:r>
        <w:rPr>
          <w:rFonts w:hint="eastAsia" w:ascii="仿宋" w:hAnsi="仿宋" w:eastAsia="仿宋" w:cs="仿宋"/>
          <w:sz w:val="32"/>
          <w:szCs w:val="32"/>
        </w:rPr>
        <w:t>项目名称：</w:t>
      </w:r>
      <w:r>
        <w:rPr>
          <w:rFonts w:hint="eastAsia" w:ascii="仿宋" w:hAnsi="仿宋" w:eastAsia="仿宋" w:cs="仿宋"/>
          <w:bCs/>
          <w:sz w:val="32"/>
          <w:szCs w:val="32"/>
          <w:u w:val="single"/>
        </w:rPr>
        <w:t>海南航空控股股份有限公司202</w:t>
      </w:r>
      <w:r>
        <w:rPr>
          <w:rFonts w:hint="eastAsia" w:ascii="仿宋" w:hAnsi="仿宋" w:eastAsia="仿宋" w:cs="仿宋"/>
          <w:bCs/>
          <w:sz w:val="32"/>
          <w:szCs w:val="32"/>
          <w:u w:val="single"/>
          <w:lang w:val="en-US" w:eastAsia="zh-CN"/>
        </w:rPr>
        <w:t>5</w:t>
      </w:r>
      <w:r>
        <w:rPr>
          <w:rFonts w:hint="eastAsia" w:ascii="仿宋" w:hAnsi="仿宋" w:eastAsia="仿宋" w:cs="仿宋"/>
          <w:bCs/>
          <w:sz w:val="32"/>
          <w:szCs w:val="32"/>
          <w:u w:val="single"/>
        </w:rPr>
        <w:t>年国内</w:t>
      </w:r>
      <w:r>
        <w:rPr>
          <w:rFonts w:hint="eastAsia" w:ascii="仿宋" w:hAnsi="仿宋" w:eastAsia="仿宋" w:cs="仿宋"/>
          <w:bCs/>
          <w:sz w:val="32"/>
          <w:szCs w:val="32"/>
          <w:u w:val="single"/>
          <w:lang w:val="en-US" w:eastAsia="zh-CN"/>
        </w:rPr>
        <w:t>航材</w:t>
      </w:r>
    </w:p>
    <w:p w14:paraId="1BF25FA0">
      <w:pPr>
        <w:tabs>
          <w:tab w:val="center" w:pos="4624"/>
          <w:tab w:val="left" w:pos="6469"/>
        </w:tabs>
        <w:spacing w:line="360" w:lineRule="auto"/>
        <w:ind w:left="2928" w:leftChars="1225" w:hanging="233" w:hangingChars="73"/>
        <w:rPr>
          <w:rFonts w:ascii="仿宋" w:hAnsi="仿宋" w:eastAsia="仿宋" w:cs="仿宋"/>
          <w:bCs/>
          <w:sz w:val="32"/>
          <w:szCs w:val="32"/>
          <w:u w:val="single"/>
        </w:rPr>
      </w:pPr>
      <w:r>
        <w:rPr>
          <w:rFonts w:hint="eastAsia" w:ascii="仿宋" w:hAnsi="仿宋" w:eastAsia="仿宋" w:cs="仿宋"/>
          <w:bCs/>
          <w:sz w:val="32"/>
          <w:szCs w:val="32"/>
          <w:u w:val="single"/>
        </w:rPr>
        <w:t>陆运服务项目</w:t>
      </w:r>
    </w:p>
    <w:p w14:paraId="22853CAD">
      <w:pPr>
        <w:pStyle w:val="8"/>
      </w:pPr>
    </w:p>
    <w:p w14:paraId="5960C4AE">
      <w:pPr>
        <w:spacing w:line="360" w:lineRule="auto"/>
        <w:ind w:left="440" w:leftChars="200" w:firstLine="640" w:firstLineChars="200"/>
        <w:rPr>
          <w:rFonts w:ascii="仿宋" w:hAnsi="仿宋" w:eastAsia="仿宋" w:cs="仿宋"/>
          <w:sz w:val="32"/>
          <w:szCs w:val="32"/>
        </w:rPr>
      </w:pPr>
      <w:r>
        <w:rPr>
          <w:rFonts w:hint="eastAsia" w:ascii="仿宋" w:hAnsi="仿宋" w:eastAsia="仿宋" w:cs="仿宋"/>
          <w:sz w:val="32"/>
          <w:szCs w:val="32"/>
          <w:lang w:val="en-US" w:eastAsia="zh-CN"/>
        </w:rPr>
        <w:t>投标单位</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(盖公章)</w:t>
      </w:r>
    </w:p>
    <w:p w14:paraId="754CAF80">
      <w:pPr>
        <w:spacing w:line="360" w:lineRule="auto"/>
        <w:ind w:left="440" w:leftChars="200" w:firstLine="640" w:firstLineChars="200"/>
        <w:rPr>
          <w:rFonts w:ascii="仿宋" w:hAnsi="仿宋" w:eastAsia="仿宋" w:cs="仿宋"/>
          <w:sz w:val="32"/>
          <w:szCs w:val="32"/>
          <w:lang w:val="en-US"/>
        </w:rPr>
      </w:pPr>
      <w:r>
        <w:rPr>
          <w:rFonts w:hint="eastAsia" w:ascii="仿宋" w:hAnsi="仿宋" w:eastAsia="仿宋" w:cs="仿宋"/>
          <w:sz w:val="32"/>
          <w:szCs w:val="32"/>
        </w:rPr>
        <w:t>法定代表人或授权代表签字：</w:t>
      </w:r>
      <w:r>
        <w:rPr>
          <w:rFonts w:hint="eastAsia" w:ascii="仿宋" w:hAnsi="仿宋" w:eastAsia="仿宋" w:cs="仿宋"/>
          <w:sz w:val="32"/>
          <w:szCs w:val="32"/>
          <w:u w:val="single"/>
          <w:lang w:val="en-US"/>
        </w:rPr>
        <w:t xml:space="preserve">                  </w:t>
      </w:r>
      <w:r>
        <w:rPr>
          <w:rFonts w:hint="eastAsia" w:ascii="仿宋" w:hAnsi="仿宋" w:eastAsia="仿宋" w:cs="仿宋"/>
          <w:sz w:val="32"/>
          <w:szCs w:val="32"/>
          <w:lang w:val="en-US"/>
        </w:rPr>
        <w:t xml:space="preserve">   </w:t>
      </w:r>
    </w:p>
    <w:p w14:paraId="781FFF3A">
      <w:pPr>
        <w:spacing w:line="360" w:lineRule="auto"/>
        <w:ind w:left="440" w:leftChars="200" w:firstLine="640" w:firstLineChars="200"/>
        <w:rPr>
          <w:rFonts w:ascii="仿宋" w:hAnsi="仿宋" w:eastAsia="仿宋" w:cs="仿宋"/>
          <w:sz w:val="32"/>
          <w:szCs w:val="32"/>
        </w:rPr>
      </w:pPr>
      <w:r>
        <w:rPr>
          <w:rFonts w:hint="eastAsia" w:ascii="仿宋" w:hAnsi="仿宋" w:eastAsia="仿宋" w:cs="仿宋"/>
          <w:sz w:val="32"/>
          <w:szCs w:val="32"/>
          <w:lang w:val="en-US"/>
        </w:rPr>
        <w:t>报名</w:t>
      </w:r>
      <w:r>
        <w:rPr>
          <w:rFonts w:hint="eastAsia" w:ascii="仿宋" w:hAnsi="仿宋" w:eastAsia="仿宋" w:cs="仿宋"/>
          <w:sz w:val="32"/>
          <w:szCs w:val="32"/>
        </w:rPr>
        <w:t>日期：</w:t>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年</w:t>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日</w:t>
      </w:r>
    </w:p>
    <w:p w14:paraId="637B1127">
      <w:pPr>
        <w:pStyle w:val="2"/>
        <w:spacing w:line="360" w:lineRule="auto"/>
        <w:jc w:val="both"/>
        <w:rPr>
          <w:rFonts w:ascii="仿宋" w:hAnsi="仿宋" w:eastAsia="仿宋" w:cs="仿宋"/>
          <w:b w:val="0"/>
          <w:bCs w:val="0"/>
          <w:sz w:val="32"/>
          <w:szCs w:val="32"/>
          <w:lang w:val="en-US"/>
        </w:rPr>
      </w:pPr>
    </w:p>
    <w:p w14:paraId="5C407E7E">
      <w:pPr>
        <w:pStyle w:val="2"/>
        <w:spacing w:line="360" w:lineRule="auto"/>
        <w:rPr>
          <w:rFonts w:ascii="仿宋" w:hAnsi="仿宋" w:eastAsia="仿宋" w:cs="仿宋"/>
          <w:sz w:val="32"/>
          <w:szCs w:val="32"/>
          <w:lang w:val="en-US"/>
        </w:rPr>
      </w:pPr>
      <w:r>
        <w:rPr>
          <w:rFonts w:hint="eastAsia" w:ascii="仿宋" w:hAnsi="仿宋" w:eastAsia="仿宋" w:cs="仿宋"/>
          <w:b w:val="0"/>
          <w:bCs w:val="0"/>
          <w:sz w:val="32"/>
          <w:szCs w:val="32"/>
          <w:lang w:val="en-US"/>
        </w:rPr>
        <w:t>盖章要求：每页报名资料均要求加盖公章</w:t>
      </w:r>
    </w:p>
    <w:p w14:paraId="213D18D8">
      <w:pPr>
        <w:rPr>
          <w:rFonts w:ascii="仿宋" w:hAnsi="仿宋" w:eastAsia="仿宋" w:cs="仿宋"/>
          <w:b/>
          <w:bCs/>
          <w:sz w:val="32"/>
          <w:szCs w:val="32"/>
          <w:lang w:val="en-US"/>
        </w:rPr>
      </w:pPr>
      <w:bookmarkStart w:id="2" w:name="_Toc24233"/>
      <w:r>
        <w:rPr>
          <w:rFonts w:hint="eastAsia" w:ascii="仿宋" w:hAnsi="仿宋" w:eastAsia="仿宋" w:cs="仿宋"/>
          <w:b/>
          <w:bCs/>
          <w:sz w:val="32"/>
          <w:szCs w:val="32"/>
          <w:lang w:val="en-US"/>
        </w:rPr>
        <w:br w:type="page"/>
      </w:r>
    </w:p>
    <w:p w14:paraId="2D039318">
      <w:pPr>
        <w:ind w:firstLine="660" w:firstLineChars="300"/>
        <w:rPr>
          <w:rFonts w:ascii="仿宋_GB2312" w:hAnsi="仿宋_GB2312" w:eastAsia="仿宋_GB2312" w:cs="仿宋_GB2312"/>
          <w:b/>
          <w:bCs/>
          <w:sz w:val="32"/>
          <w:szCs w:val="32"/>
          <w:lang w:val="en-US"/>
        </w:rPr>
      </w:pPr>
      <w:r>
        <w:fldChar w:fldCharType="begin"/>
      </w:r>
      <w:r>
        <w:instrText xml:space="preserve"> HYPERLINK \l "一、技术与商务条款应答表" </w:instrText>
      </w:r>
      <w:r>
        <w:fldChar w:fldCharType="separate"/>
      </w:r>
      <w:r>
        <w:rPr>
          <w:rStyle w:val="13"/>
          <w:rFonts w:hint="eastAsia" w:ascii="仿宋_GB2312" w:hAnsi="仿宋_GB2312" w:eastAsia="仿宋_GB2312" w:cs="仿宋_GB2312"/>
          <w:b/>
          <w:bCs/>
          <w:color w:val="auto"/>
          <w:sz w:val="32"/>
          <w:szCs w:val="32"/>
          <w:u w:val="none"/>
          <w:lang w:val="en-US"/>
        </w:rPr>
        <w:t>一、技术与商务条款应答表</w:t>
      </w:r>
      <w:r>
        <w:rPr>
          <w:rStyle w:val="13"/>
          <w:rFonts w:hint="eastAsia" w:ascii="仿宋_GB2312" w:hAnsi="仿宋_GB2312" w:eastAsia="仿宋_GB2312" w:cs="仿宋_GB2312"/>
          <w:b/>
          <w:bCs/>
          <w:color w:val="auto"/>
          <w:sz w:val="32"/>
          <w:szCs w:val="32"/>
          <w:u w:val="none"/>
          <w:lang w:val="en-US"/>
        </w:rPr>
        <w:fldChar w:fldCharType="end"/>
      </w:r>
    </w:p>
    <w:tbl>
      <w:tblPr>
        <w:tblStyle w:val="11"/>
        <w:tblpPr w:leftFromText="180" w:rightFromText="180" w:vertAnchor="text" w:horzAnchor="page" w:tblpXSpec="center" w:tblpY="633"/>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231"/>
        <w:gridCol w:w="4350"/>
        <w:gridCol w:w="3135"/>
        <w:gridCol w:w="1007"/>
      </w:tblGrid>
      <w:tr w14:paraId="3FA2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vAlign w:val="center"/>
          </w:tcPr>
          <w:p w14:paraId="4C6C69B2">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599" w:type="pct"/>
            <w:vAlign w:val="center"/>
          </w:tcPr>
          <w:p w14:paraId="48329B46">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技术及商务条款</w:t>
            </w:r>
          </w:p>
        </w:tc>
        <w:tc>
          <w:tcPr>
            <w:tcW w:w="2118" w:type="pct"/>
            <w:vAlign w:val="center"/>
          </w:tcPr>
          <w:p w14:paraId="31288A20">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招标方要求</w:t>
            </w:r>
          </w:p>
        </w:tc>
        <w:tc>
          <w:tcPr>
            <w:tcW w:w="1526" w:type="pct"/>
            <w:vAlign w:val="center"/>
          </w:tcPr>
          <w:p w14:paraId="20E02AEF">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投标方响应（满足</w:t>
            </w:r>
            <w:r>
              <w:rPr>
                <w:rFonts w:hint="eastAsia" w:ascii="仿宋_GB2312" w:hAnsi="仿宋_GB2312" w:eastAsia="仿宋_GB2312" w:cs="仿宋_GB2312"/>
                <w:sz w:val="24"/>
                <w:szCs w:val="24"/>
                <w:lang w:val="en-US"/>
              </w:rPr>
              <w:t>/不满足</w:t>
            </w:r>
            <w:r>
              <w:rPr>
                <w:rFonts w:hint="eastAsia" w:ascii="仿宋_GB2312" w:hAnsi="仿宋_GB2312" w:eastAsia="仿宋_GB2312" w:cs="仿宋_GB2312"/>
                <w:sz w:val="24"/>
                <w:szCs w:val="24"/>
              </w:rPr>
              <w:t>）</w:t>
            </w:r>
          </w:p>
        </w:tc>
        <w:tc>
          <w:tcPr>
            <w:tcW w:w="490" w:type="pct"/>
            <w:vAlign w:val="center"/>
          </w:tcPr>
          <w:p w14:paraId="6D725231">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如偏离，请备注说明</w:t>
            </w:r>
          </w:p>
        </w:tc>
      </w:tr>
      <w:tr w14:paraId="2C93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vAlign w:val="center"/>
          </w:tcPr>
          <w:p w14:paraId="040ABEF2">
            <w:pPr>
              <w:spacing w:line="36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599" w:type="pct"/>
            <w:vAlign w:val="center"/>
          </w:tcPr>
          <w:p w14:paraId="136413FE">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独立报价</w:t>
            </w:r>
          </w:p>
        </w:tc>
        <w:tc>
          <w:tcPr>
            <w:tcW w:w="2118" w:type="pct"/>
          </w:tcPr>
          <w:p w14:paraId="065ED1F5">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投标方必须独立报价，不能参与串标、围标行为，如发现存在此类行为， 招标方有权废标，并对涉嫌串标、围标投标方进行相应处理，同时列入海航航空集团不良供应商名单。 </w:t>
            </w:r>
          </w:p>
          <w:p w14:paraId="672721A8">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【请明确回复是否已经查阅并同意以上条款，如不满足或不接受，经招标方评估后有权拒绝其报价及中标资格】</w:t>
            </w:r>
          </w:p>
        </w:tc>
        <w:tc>
          <w:tcPr>
            <w:tcW w:w="1526" w:type="pct"/>
            <w:vAlign w:val="center"/>
          </w:tcPr>
          <w:p w14:paraId="0FA4A775">
            <w:pPr>
              <w:spacing w:line="360" w:lineRule="exact"/>
              <w:jc w:val="center"/>
              <w:rPr>
                <w:rFonts w:ascii="仿宋_GB2312" w:hAnsi="仿宋_GB2312" w:eastAsia="仿宋_GB2312" w:cs="仿宋_GB2312"/>
                <w:sz w:val="24"/>
                <w:szCs w:val="24"/>
              </w:rPr>
            </w:pPr>
          </w:p>
        </w:tc>
        <w:tc>
          <w:tcPr>
            <w:tcW w:w="490" w:type="pct"/>
            <w:vAlign w:val="center"/>
          </w:tcPr>
          <w:p w14:paraId="474E07A9">
            <w:pPr>
              <w:spacing w:line="360" w:lineRule="exact"/>
              <w:jc w:val="center"/>
              <w:rPr>
                <w:rFonts w:ascii="仿宋_GB2312" w:hAnsi="仿宋_GB2312" w:eastAsia="仿宋_GB2312" w:cs="仿宋_GB2312"/>
                <w:sz w:val="24"/>
                <w:szCs w:val="24"/>
              </w:rPr>
            </w:pPr>
          </w:p>
        </w:tc>
      </w:tr>
      <w:tr w14:paraId="1B65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vAlign w:val="center"/>
          </w:tcPr>
          <w:p w14:paraId="5789FC00">
            <w:pPr>
              <w:spacing w:line="36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w:t>
            </w:r>
          </w:p>
        </w:tc>
        <w:tc>
          <w:tcPr>
            <w:tcW w:w="599" w:type="pct"/>
            <w:vAlign w:val="center"/>
          </w:tcPr>
          <w:p w14:paraId="57DFF87C">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标书费、投标保证金和履约保证金</w:t>
            </w:r>
          </w:p>
        </w:tc>
        <w:tc>
          <w:tcPr>
            <w:tcW w:w="2118" w:type="pct"/>
          </w:tcPr>
          <w:p w14:paraId="23FBDC2A">
            <w:pPr>
              <w:spacing w:line="360" w:lineRule="exact"/>
              <w:jc w:val="both"/>
              <w:rPr>
                <w:rFonts w:ascii="仿宋_GB2312" w:hAnsi="仿宋_GB2312" w:eastAsia="仿宋_GB2312" w:cs="仿宋_GB2312"/>
                <w:color w:val="auto"/>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color w:val="auto"/>
                <w:sz w:val="24"/>
                <w:szCs w:val="24"/>
                <w:lang w:val="en-US"/>
              </w:rPr>
              <w:t>.</w:t>
            </w:r>
            <w:r>
              <w:rPr>
                <w:rFonts w:hint="eastAsia" w:ascii="仿宋_GB2312" w:hAnsi="仿宋_GB2312" w:eastAsia="仿宋_GB2312" w:cs="仿宋_GB2312"/>
                <w:color w:val="auto"/>
                <w:sz w:val="24"/>
                <w:szCs w:val="24"/>
              </w:rPr>
              <w:t>标书费：本项目需收取标书费</w:t>
            </w:r>
            <w:r>
              <w:rPr>
                <w:rFonts w:hint="eastAsia" w:ascii="仿宋_GB2312" w:hAnsi="仿宋_GB2312" w:eastAsia="仿宋_GB2312" w:cs="仿宋_GB2312"/>
                <w:color w:val="auto"/>
                <w:sz w:val="24"/>
                <w:szCs w:val="24"/>
                <w:lang w:val="en-US" w:eastAsia="zh-CN"/>
              </w:rPr>
              <w:t>500</w:t>
            </w:r>
            <w:r>
              <w:rPr>
                <w:rFonts w:hint="eastAsia" w:ascii="仿宋_GB2312" w:hAnsi="仿宋_GB2312" w:eastAsia="仿宋_GB2312" w:cs="仿宋_GB2312"/>
                <w:color w:val="auto"/>
                <w:sz w:val="24"/>
                <w:szCs w:val="24"/>
              </w:rPr>
              <w:t>元，要求截标之前必须缴纳，标书费不退还。</w:t>
            </w:r>
          </w:p>
          <w:p w14:paraId="23E3A6BC">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rPr>
              <w:t>.</w:t>
            </w:r>
            <w:r>
              <w:rPr>
                <w:rFonts w:hint="eastAsia" w:ascii="仿宋_GB2312" w:hAnsi="仿宋_GB2312" w:eastAsia="仿宋_GB2312" w:cs="仿宋_GB2312"/>
                <w:color w:val="auto"/>
                <w:sz w:val="24"/>
                <w:szCs w:val="24"/>
              </w:rPr>
              <w:t>投标保证金：此项目需缴纳投标保证金（￥</w:t>
            </w:r>
            <w:r>
              <w:rPr>
                <w:rFonts w:hint="eastAsia" w:ascii="仿宋_GB2312" w:hAnsi="仿宋_GB2312" w:eastAsia="仿宋_GB2312" w:cs="仿宋_GB2312"/>
                <w:color w:val="auto"/>
                <w:sz w:val="24"/>
                <w:szCs w:val="24"/>
                <w:lang w:val="en-US" w:eastAsia="zh-CN"/>
              </w:rPr>
              <w:t>19.37元</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b w:val="0"/>
                <w:bCs w:val="0"/>
                <w:color w:val="auto"/>
                <w:sz w:val="24"/>
                <w:szCs w:val="24"/>
              </w:rPr>
              <w:t>原则上须为公对公账户转账（个人转账需提供正式函件说明）</w:t>
            </w:r>
            <w:r>
              <w:rPr>
                <w:rFonts w:hint="eastAsia" w:ascii="仿宋_GB2312" w:hAnsi="仿宋_GB2312" w:eastAsia="仿宋_GB2312" w:cs="仿宋_GB2312"/>
                <w:sz w:val="24"/>
                <w:szCs w:val="24"/>
              </w:rPr>
              <w:t>。若投标人未按招标方的规定提交投标保证金，其投标文件将视为无效报价。招标结束后，未中标单位的投标保证金将在中标结果公示结束后</w:t>
            </w:r>
            <w:r>
              <w:rPr>
                <w:rFonts w:hint="eastAsia" w:ascii="仿宋_GB2312" w:hAnsi="仿宋_GB2312" w:eastAsia="仿宋_GB2312" w:cs="仿宋_GB2312"/>
                <w:b/>
                <w:bCs/>
                <w:sz w:val="24"/>
                <w:szCs w:val="24"/>
              </w:rPr>
              <w:t>1个月</w:t>
            </w:r>
            <w:r>
              <w:rPr>
                <w:rFonts w:hint="eastAsia" w:ascii="仿宋_GB2312" w:hAnsi="仿宋_GB2312" w:eastAsia="仿宋_GB2312" w:cs="仿宋_GB2312"/>
                <w:sz w:val="24"/>
                <w:szCs w:val="24"/>
              </w:rPr>
              <w:t>内全额退还。</w:t>
            </w:r>
          </w:p>
          <w:p w14:paraId="63B9FA81">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履约保证金：中标单位投标保证金在协议生效后自动转为履约保证金，履约保证金在合同到期后一个月内退还，如履约异常，则按相关履约条款予以扣除。</w:t>
            </w:r>
          </w:p>
          <w:p w14:paraId="7B29F206">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收款账户名称：海南福顺投资开发有限公司；</w:t>
            </w:r>
          </w:p>
          <w:p w14:paraId="521B30E1">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开户银行：中国银行股份有限公司海口秀英支行；</w:t>
            </w:r>
          </w:p>
          <w:p w14:paraId="1064648C">
            <w:pPr>
              <w:spacing w:line="36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账号:265038550314。</w:t>
            </w:r>
          </w:p>
        </w:tc>
        <w:tc>
          <w:tcPr>
            <w:tcW w:w="1526" w:type="pct"/>
            <w:vAlign w:val="center"/>
          </w:tcPr>
          <w:p w14:paraId="3AAEB892">
            <w:pPr>
              <w:spacing w:line="360" w:lineRule="exact"/>
              <w:jc w:val="center"/>
              <w:rPr>
                <w:rFonts w:ascii="仿宋_GB2312" w:hAnsi="仿宋_GB2312" w:eastAsia="仿宋_GB2312" w:cs="仿宋_GB2312"/>
                <w:sz w:val="24"/>
                <w:szCs w:val="24"/>
              </w:rPr>
            </w:pPr>
          </w:p>
        </w:tc>
        <w:tc>
          <w:tcPr>
            <w:tcW w:w="490" w:type="pct"/>
            <w:vAlign w:val="center"/>
          </w:tcPr>
          <w:p w14:paraId="370E7576">
            <w:pPr>
              <w:spacing w:line="360" w:lineRule="exact"/>
              <w:jc w:val="center"/>
              <w:rPr>
                <w:rFonts w:ascii="仿宋_GB2312" w:hAnsi="仿宋_GB2312" w:eastAsia="仿宋_GB2312" w:cs="仿宋_GB2312"/>
                <w:sz w:val="24"/>
                <w:szCs w:val="24"/>
              </w:rPr>
            </w:pPr>
          </w:p>
        </w:tc>
      </w:tr>
      <w:tr w14:paraId="5680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vAlign w:val="center"/>
          </w:tcPr>
          <w:p w14:paraId="54C4E478">
            <w:pPr>
              <w:spacing w:line="36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3</w:t>
            </w:r>
          </w:p>
        </w:tc>
        <w:tc>
          <w:tcPr>
            <w:tcW w:w="599" w:type="pct"/>
            <w:vAlign w:val="center"/>
          </w:tcPr>
          <w:p w14:paraId="4FD1CF08">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不履约的处罚</w:t>
            </w:r>
          </w:p>
        </w:tc>
        <w:tc>
          <w:tcPr>
            <w:tcW w:w="2118" w:type="pct"/>
          </w:tcPr>
          <w:p w14:paraId="72C2D84C">
            <w:pPr>
              <w:spacing w:line="36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根据评标结果，买卖双方办理签署合同手续。如竞标人无法履行标书应答条款的（被证实的不可抗力因素除外），招标人有权直接扣罚投标保证金，同时列入海航航空集团不良供应商名单。</w:t>
            </w:r>
          </w:p>
        </w:tc>
        <w:tc>
          <w:tcPr>
            <w:tcW w:w="1526" w:type="pct"/>
            <w:vAlign w:val="center"/>
          </w:tcPr>
          <w:p w14:paraId="776925E4">
            <w:pPr>
              <w:spacing w:line="360" w:lineRule="exact"/>
              <w:jc w:val="center"/>
              <w:rPr>
                <w:rFonts w:ascii="仿宋_GB2312" w:hAnsi="仿宋_GB2312" w:eastAsia="仿宋_GB2312" w:cs="仿宋_GB2312"/>
                <w:sz w:val="24"/>
                <w:szCs w:val="24"/>
              </w:rPr>
            </w:pPr>
          </w:p>
        </w:tc>
        <w:tc>
          <w:tcPr>
            <w:tcW w:w="490" w:type="pct"/>
            <w:vAlign w:val="center"/>
          </w:tcPr>
          <w:p w14:paraId="54FBD53A">
            <w:pPr>
              <w:spacing w:line="360" w:lineRule="exact"/>
              <w:jc w:val="center"/>
              <w:rPr>
                <w:rFonts w:ascii="仿宋_GB2312" w:hAnsi="仿宋_GB2312" w:eastAsia="仿宋_GB2312" w:cs="仿宋_GB2312"/>
                <w:sz w:val="24"/>
                <w:szCs w:val="24"/>
              </w:rPr>
            </w:pPr>
          </w:p>
        </w:tc>
      </w:tr>
      <w:tr w14:paraId="04B7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vAlign w:val="center"/>
          </w:tcPr>
          <w:p w14:paraId="4795B97C">
            <w:pPr>
              <w:spacing w:line="36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4</w:t>
            </w:r>
          </w:p>
        </w:tc>
        <w:tc>
          <w:tcPr>
            <w:tcW w:w="599" w:type="pct"/>
            <w:vAlign w:val="center"/>
          </w:tcPr>
          <w:p w14:paraId="36E73E97">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招标数量说明</w:t>
            </w:r>
          </w:p>
        </w:tc>
        <w:tc>
          <w:tcPr>
            <w:tcW w:w="2118" w:type="pct"/>
          </w:tcPr>
          <w:p w14:paraId="682AB9F7">
            <w:pPr>
              <w:spacing w:line="36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标书中运输需求业务量为预估年用量，实际数量在双方签署合同后，以买方实际下发订单数量为准，</w:t>
            </w:r>
            <w:r>
              <w:rPr>
                <w:rFonts w:hint="eastAsia" w:ascii="仿宋_GB2312" w:hAnsi="仿宋_GB2312" w:eastAsia="仿宋_GB2312" w:cs="仿宋_GB2312"/>
                <w:b/>
                <w:bCs/>
                <w:sz w:val="24"/>
                <w:szCs w:val="24"/>
              </w:rPr>
              <w:t>卖方不得以订单与需求数量不符</w:t>
            </w:r>
            <w:r>
              <w:rPr>
                <w:rFonts w:hint="eastAsia" w:ascii="仿宋_GB2312" w:hAnsi="仿宋_GB2312" w:eastAsia="仿宋_GB2312" w:cs="仿宋_GB2312"/>
                <w:b/>
                <w:bCs/>
                <w:sz w:val="24"/>
                <w:szCs w:val="24"/>
                <w:lang w:val="en-US" w:eastAsia="zh-CN"/>
              </w:rPr>
              <w:t>或备选代理</w:t>
            </w:r>
            <w:r>
              <w:rPr>
                <w:rFonts w:hint="eastAsia" w:ascii="仿宋_GB2312" w:hAnsi="仿宋_GB2312" w:eastAsia="仿宋_GB2312" w:cs="仿宋_GB2312"/>
                <w:b/>
                <w:bCs/>
                <w:sz w:val="24"/>
                <w:szCs w:val="24"/>
              </w:rPr>
              <w:t>等理由拒绝提供服务</w:t>
            </w:r>
            <w:r>
              <w:rPr>
                <w:rFonts w:hint="eastAsia" w:ascii="仿宋_GB2312" w:hAnsi="仿宋_GB2312" w:eastAsia="仿宋_GB2312" w:cs="仿宋_GB2312"/>
                <w:b/>
                <w:bCs/>
                <w:sz w:val="24"/>
                <w:szCs w:val="24"/>
                <w:lang w:val="en-US" w:eastAsia="zh-CN"/>
              </w:rPr>
              <w:t>或降低服务质量</w:t>
            </w:r>
            <w:r>
              <w:rPr>
                <w:rFonts w:hint="eastAsia" w:ascii="仿宋_GB2312" w:hAnsi="仿宋_GB2312" w:eastAsia="仿宋_GB2312" w:cs="仿宋_GB2312"/>
                <w:b/>
                <w:bCs/>
                <w:sz w:val="24"/>
                <w:szCs w:val="24"/>
              </w:rPr>
              <w:t>。</w:t>
            </w:r>
          </w:p>
        </w:tc>
        <w:tc>
          <w:tcPr>
            <w:tcW w:w="1526" w:type="pct"/>
            <w:vAlign w:val="center"/>
          </w:tcPr>
          <w:p w14:paraId="6725FAC8">
            <w:pPr>
              <w:spacing w:line="360" w:lineRule="exact"/>
              <w:jc w:val="center"/>
              <w:rPr>
                <w:rFonts w:ascii="仿宋_GB2312" w:hAnsi="仿宋_GB2312" w:eastAsia="仿宋_GB2312" w:cs="仿宋_GB2312"/>
                <w:sz w:val="24"/>
                <w:szCs w:val="24"/>
              </w:rPr>
            </w:pPr>
          </w:p>
        </w:tc>
        <w:tc>
          <w:tcPr>
            <w:tcW w:w="490" w:type="pct"/>
            <w:vAlign w:val="center"/>
          </w:tcPr>
          <w:p w14:paraId="78DF615E">
            <w:pPr>
              <w:spacing w:line="360" w:lineRule="exact"/>
              <w:jc w:val="center"/>
              <w:rPr>
                <w:rFonts w:ascii="仿宋_GB2312" w:hAnsi="仿宋_GB2312" w:eastAsia="仿宋_GB2312" w:cs="仿宋_GB2312"/>
                <w:sz w:val="24"/>
                <w:szCs w:val="24"/>
              </w:rPr>
            </w:pPr>
          </w:p>
        </w:tc>
      </w:tr>
      <w:tr w14:paraId="2162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vAlign w:val="center"/>
          </w:tcPr>
          <w:p w14:paraId="4190CFE8">
            <w:pPr>
              <w:spacing w:line="36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5</w:t>
            </w:r>
          </w:p>
        </w:tc>
        <w:tc>
          <w:tcPr>
            <w:tcW w:w="599" w:type="pct"/>
            <w:vAlign w:val="center"/>
          </w:tcPr>
          <w:p w14:paraId="76C87151">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付款条件</w:t>
            </w:r>
          </w:p>
        </w:tc>
        <w:tc>
          <w:tcPr>
            <w:tcW w:w="2118" w:type="pct"/>
          </w:tcPr>
          <w:p w14:paraId="031952AE">
            <w:pPr>
              <w:tabs>
                <w:tab w:val="left" w:pos="810"/>
              </w:tabs>
              <w:suppressAutoHyphens/>
              <w:autoSpaceDE/>
              <w:autoSpaceDN/>
              <w:spacing w:line="36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rPr>
              <w:t>运输完成后，卖方每周将货物运输材料（包括但不限于运输协议、运单、签收单、报价明细单复印件等，以买方要求为准）以及对账单递送到买方指定对接人。买方在15个工作日内完成核对，双方核对无误后卖方开具增值税专票，买方在收到发票后90天内汇款至卖方指定银行帐户</w:t>
            </w:r>
            <w:r>
              <w:rPr>
                <w:rFonts w:hint="eastAsia" w:ascii="仿宋_GB2312" w:hAnsi="仿宋_GB2312" w:eastAsia="仿宋_GB2312" w:cs="仿宋_GB2312"/>
                <w:sz w:val="24"/>
                <w:szCs w:val="24"/>
              </w:rPr>
              <w:t>。审核有异议的，该部分款项须在双方核实无异议后按以上时限支付。</w:t>
            </w:r>
          </w:p>
        </w:tc>
        <w:tc>
          <w:tcPr>
            <w:tcW w:w="1526" w:type="pct"/>
            <w:vAlign w:val="center"/>
          </w:tcPr>
          <w:p w14:paraId="6A5C36E1">
            <w:pPr>
              <w:spacing w:line="360" w:lineRule="exact"/>
              <w:jc w:val="center"/>
              <w:rPr>
                <w:rFonts w:ascii="仿宋_GB2312" w:hAnsi="仿宋_GB2312" w:eastAsia="仿宋_GB2312" w:cs="仿宋_GB2312"/>
                <w:sz w:val="24"/>
                <w:szCs w:val="24"/>
              </w:rPr>
            </w:pPr>
          </w:p>
        </w:tc>
        <w:tc>
          <w:tcPr>
            <w:tcW w:w="490" w:type="pct"/>
            <w:vAlign w:val="center"/>
          </w:tcPr>
          <w:p w14:paraId="502369FC">
            <w:pPr>
              <w:spacing w:line="360" w:lineRule="exact"/>
              <w:jc w:val="center"/>
              <w:rPr>
                <w:rFonts w:ascii="仿宋_GB2312" w:hAnsi="仿宋_GB2312" w:eastAsia="仿宋_GB2312" w:cs="仿宋_GB2312"/>
                <w:sz w:val="24"/>
                <w:szCs w:val="24"/>
              </w:rPr>
            </w:pPr>
          </w:p>
        </w:tc>
      </w:tr>
      <w:tr w14:paraId="69514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vAlign w:val="center"/>
          </w:tcPr>
          <w:p w14:paraId="3FA55A9F">
            <w:pPr>
              <w:spacing w:line="36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6</w:t>
            </w:r>
          </w:p>
        </w:tc>
        <w:tc>
          <w:tcPr>
            <w:tcW w:w="599" w:type="pct"/>
            <w:vAlign w:val="center"/>
          </w:tcPr>
          <w:p w14:paraId="1469B024">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发票要求</w:t>
            </w:r>
          </w:p>
        </w:tc>
        <w:tc>
          <w:tcPr>
            <w:tcW w:w="2118" w:type="pct"/>
          </w:tcPr>
          <w:p w14:paraId="36197B60">
            <w:pPr>
              <w:tabs>
                <w:tab w:val="left" w:pos="810"/>
              </w:tabs>
              <w:suppressAutoHyphens/>
              <w:autoSpaceDE/>
              <w:autoSpaceDN/>
              <w:spacing w:line="360" w:lineRule="exact"/>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运输费用与配套定价服务费用合并开票，</w:t>
            </w:r>
            <w:r>
              <w:rPr>
                <w:rFonts w:hint="eastAsia" w:ascii="仿宋_GB2312" w:hAnsi="仿宋_GB2312" w:eastAsia="仿宋_GB2312" w:cs="仿宋_GB2312"/>
                <w:sz w:val="24"/>
                <w:szCs w:val="24"/>
              </w:rPr>
              <w:t>卖</w:t>
            </w:r>
            <w:r>
              <w:rPr>
                <w:rFonts w:hint="eastAsia" w:ascii="仿宋_GB2312" w:hAnsi="仿宋_GB2312" w:eastAsia="仿宋_GB2312" w:cs="仿宋_GB2312"/>
                <w:sz w:val="24"/>
                <w:szCs w:val="24"/>
                <w:lang w:val="en-US"/>
              </w:rPr>
              <w:t>方结算时须开具增值税专票（涉及香港的</w:t>
            </w:r>
            <w:r>
              <w:rPr>
                <w:rFonts w:hint="eastAsia" w:ascii="仿宋_GB2312" w:hAnsi="仿宋_GB2312" w:eastAsia="仿宋_GB2312" w:cs="仿宋_GB2312"/>
                <w:sz w:val="24"/>
                <w:szCs w:val="24"/>
                <w:lang w:val="en-US" w:eastAsia="zh-CN"/>
              </w:rPr>
              <w:t>路线</w:t>
            </w:r>
            <w:r>
              <w:rPr>
                <w:rFonts w:hint="eastAsia" w:ascii="仿宋_GB2312" w:hAnsi="仿宋_GB2312" w:eastAsia="仿宋_GB2312" w:cs="仿宋_GB2312"/>
                <w:sz w:val="24"/>
                <w:szCs w:val="24"/>
                <w:lang w:val="en-US"/>
              </w:rPr>
              <w:t>为零税率）。税率按国家规定政策调整，结算费用也随着税率变化同步调整，不含税价格不变。</w:t>
            </w:r>
          </w:p>
          <w:p w14:paraId="2FE5AEBB">
            <w:pPr>
              <w:spacing w:line="36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如经我方查验发现虚假现象，卖方应按发票金额进行双倍赔偿。</w:t>
            </w:r>
          </w:p>
        </w:tc>
        <w:tc>
          <w:tcPr>
            <w:tcW w:w="1526" w:type="pct"/>
            <w:vAlign w:val="center"/>
          </w:tcPr>
          <w:p w14:paraId="6DFAD70D">
            <w:pPr>
              <w:spacing w:line="360" w:lineRule="exact"/>
              <w:jc w:val="center"/>
              <w:rPr>
                <w:rFonts w:ascii="仿宋_GB2312" w:hAnsi="仿宋_GB2312" w:eastAsia="仿宋_GB2312" w:cs="仿宋_GB2312"/>
                <w:sz w:val="24"/>
                <w:szCs w:val="24"/>
              </w:rPr>
            </w:pPr>
          </w:p>
        </w:tc>
        <w:tc>
          <w:tcPr>
            <w:tcW w:w="490" w:type="pct"/>
            <w:vAlign w:val="center"/>
          </w:tcPr>
          <w:p w14:paraId="3278417B">
            <w:pPr>
              <w:spacing w:line="360" w:lineRule="exact"/>
              <w:jc w:val="center"/>
              <w:rPr>
                <w:rFonts w:ascii="仿宋_GB2312" w:hAnsi="仿宋_GB2312" w:eastAsia="仿宋_GB2312" w:cs="仿宋_GB2312"/>
                <w:sz w:val="24"/>
                <w:szCs w:val="24"/>
              </w:rPr>
            </w:pPr>
          </w:p>
        </w:tc>
      </w:tr>
      <w:tr w14:paraId="3F0B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264" w:type="pct"/>
            <w:vAlign w:val="center"/>
          </w:tcPr>
          <w:p w14:paraId="6F19E488">
            <w:pPr>
              <w:spacing w:line="36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7</w:t>
            </w:r>
          </w:p>
        </w:tc>
        <w:tc>
          <w:tcPr>
            <w:tcW w:w="599" w:type="pct"/>
            <w:vAlign w:val="center"/>
          </w:tcPr>
          <w:p w14:paraId="5455E0F8">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竞标方银行信息</w:t>
            </w:r>
          </w:p>
        </w:tc>
        <w:tc>
          <w:tcPr>
            <w:tcW w:w="2118" w:type="pct"/>
            <w:vAlign w:val="center"/>
          </w:tcPr>
          <w:p w14:paraId="320B6215">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请提供收款单位、统一社会信用代码、开户行地址、账号、财务联系人、电话</w:t>
            </w:r>
            <w:r>
              <w:rPr>
                <w:rFonts w:hint="eastAsia" w:ascii="仿宋_GB2312" w:hAnsi="仿宋_GB2312" w:eastAsia="仿宋_GB2312" w:cs="仿宋_GB2312"/>
                <w:sz w:val="24"/>
                <w:szCs w:val="24"/>
                <w:lang w:eastAsia="zh-CN"/>
              </w:rPr>
              <w:t>。</w:t>
            </w:r>
          </w:p>
        </w:tc>
        <w:tc>
          <w:tcPr>
            <w:tcW w:w="1526" w:type="pct"/>
            <w:vAlign w:val="center"/>
          </w:tcPr>
          <w:p w14:paraId="6722E09C">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收款单位：</w:t>
            </w:r>
          </w:p>
          <w:p w14:paraId="376FC3E0">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统一社会信用代码：</w:t>
            </w:r>
          </w:p>
          <w:p w14:paraId="071B6CED">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开户行：</w:t>
            </w:r>
          </w:p>
          <w:p w14:paraId="183942AC">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账号：</w:t>
            </w:r>
          </w:p>
          <w:p w14:paraId="1D641A55">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财务联系人：</w:t>
            </w:r>
          </w:p>
          <w:p w14:paraId="2F682C4B">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电话：</w:t>
            </w:r>
          </w:p>
        </w:tc>
        <w:tc>
          <w:tcPr>
            <w:tcW w:w="490" w:type="pct"/>
            <w:vAlign w:val="center"/>
          </w:tcPr>
          <w:p w14:paraId="7F51A11D">
            <w:pPr>
              <w:spacing w:line="360" w:lineRule="exact"/>
              <w:jc w:val="center"/>
              <w:rPr>
                <w:rFonts w:ascii="仿宋_GB2312" w:hAnsi="仿宋_GB2312" w:eastAsia="仿宋_GB2312" w:cs="仿宋_GB2312"/>
                <w:sz w:val="24"/>
                <w:szCs w:val="24"/>
              </w:rPr>
            </w:pPr>
          </w:p>
        </w:tc>
      </w:tr>
      <w:tr w14:paraId="6395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vAlign w:val="center"/>
          </w:tcPr>
          <w:p w14:paraId="1CB5449E">
            <w:pPr>
              <w:spacing w:line="36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8</w:t>
            </w:r>
          </w:p>
        </w:tc>
        <w:tc>
          <w:tcPr>
            <w:tcW w:w="599" w:type="pct"/>
            <w:vAlign w:val="center"/>
          </w:tcPr>
          <w:p w14:paraId="083E6CD0">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下单方式</w:t>
            </w:r>
          </w:p>
        </w:tc>
        <w:tc>
          <w:tcPr>
            <w:tcW w:w="2118" w:type="pct"/>
          </w:tcPr>
          <w:p w14:paraId="66D8F4C5">
            <w:pPr>
              <w:spacing w:line="36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val="en-US"/>
              </w:rPr>
              <w:t>卖方应提供24小时服务电话及联系人，并针对买方的服务要求成立相应的</w:t>
            </w:r>
            <w:r>
              <w:rPr>
                <w:rFonts w:hint="eastAsia" w:ascii="仿宋_GB2312" w:hAnsi="仿宋_GB2312" w:eastAsia="仿宋_GB2312" w:cs="仿宋_GB2312"/>
                <w:b/>
                <w:bCs/>
                <w:sz w:val="24"/>
                <w:szCs w:val="24"/>
                <w:lang w:val="en-US" w:eastAsia="zh-CN"/>
              </w:rPr>
              <w:t>客服团队</w:t>
            </w:r>
            <w:r>
              <w:rPr>
                <w:rFonts w:hint="eastAsia" w:ascii="仿宋_GB2312" w:hAnsi="仿宋_GB2312" w:eastAsia="仿宋_GB2312" w:cs="仿宋_GB2312"/>
                <w:b/>
                <w:bCs/>
                <w:sz w:val="24"/>
                <w:szCs w:val="24"/>
                <w:lang w:val="en-US"/>
              </w:rPr>
              <w:t>。</w:t>
            </w:r>
            <w:r>
              <w:rPr>
                <w:rFonts w:hint="eastAsia" w:ascii="仿宋_GB2312" w:hAnsi="仿宋_GB2312" w:eastAsia="仿宋_GB2312" w:cs="仿宋_GB2312"/>
                <w:sz w:val="24"/>
                <w:szCs w:val="24"/>
              </w:rPr>
              <w:t>协议有效期内，买方有运输需求时，以邮件形式向卖方下发运输指令。卖方收到买方运输指令后，应在买方</w:t>
            </w:r>
            <w:r>
              <w:rPr>
                <w:rFonts w:hint="eastAsia" w:ascii="仿宋_GB2312" w:hAnsi="仿宋_GB2312" w:eastAsia="仿宋_GB2312" w:cs="仿宋_GB2312"/>
                <w:sz w:val="24"/>
                <w:szCs w:val="24"/>
                <w:lang w:val="en-US"/>
              </w:rPr>
              <w:t>指定的时间内到达买方</w:t>
            </w:r>
            <w:r>
              <w:rPr>
                <w:rFonts w:hint="eastAsia" w:ascii="仿宋_GB2312" w:hAnsi="仿宋_GB2312" w:eastAsia="仿宋_GB2312" w:cs="仿宋_GB2312"/>
                <w:sz w:val="24"/>
                <w:szCs w:val="24"/>
              </w:rPr>
              <w:t>指定地点提货，并在规定时间内完成运输指令。</w:t>
            </w:r>
          </w:p>
        </w:tc>
        <w:tc>
          <w:tcPr>
            <w:tcW w:w="1526" w:type="pct"/>
            <w:vAlign w:val="center"/>
          </w:tcPr>
          <w:p w14:paraId="00308C5E">
            <w:pPr>
              <w:spacing w:line="360" w:lineRule="exact"/>
              <w:jc w:val="center"/>
              <w:rPr>
                <w:rFonts w:ascii="仿宋_GB2312" w:hAnsi="仿宋_GB2312" w:eastAsia="仿宋_GB2312" w:cs="仿宋_GB2312"/>
                <w:sz w:val="24"/>
                <w:szCs w:val="24"/>
              </w:rPr>
            </w:pPr>
          </w:p>
        </w:tc>
        <w:tc>
          <w:tcPr>
            <w:tcW w:w="490" w:type="pct"/>
            <w:vAlign w:val="center"/>
          </w:tcPr>
          <w:p w14:paraId="2B887B7E">
            <w:pPr>
              <w:spacing w:line="360" w:lineRule="exact"/>
              <w:jc w:val="center"/>
              <w:rPr>
                <w:rFonts w:ascii="仿宋_GB2312" w:hAnsi="仿宋_GB2312" w:eastAsia="仿宋_GB2312" w:cs="仿宋_GB2312"/>
                <w:sz w:val="24"/>
                <w:szCs w:val="24"/>
              </w:rPr>
            </w:pPr>
          </w:p>
        </w:tc>
      </w:tr>
      <w:tr w14:paraId="2E8A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vAlign w:val="center"/>
          </w:tcPr>
          <w:p w14:paraId="2D773522">
            <w:pPr>
              <w:spacing w:line="36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9</w:t>
            </w:r>
          </w:p>
        </w:tc>
        <w:tc>
          <w:tcPr>
            <w:tcW w:w="599" w:type="pct"/>
            <w:vAlign w:val="center"/>
          </w:tcPr>
          <w:p w14:paraId="0B97C2F2">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通知与通讯方式</w:t>
            </w:r>
          </w:p>
        </w:tc>
        <w:tc>
          <w:tcPr>
            <w:tcW w:w="2118" w:type="pct"/>
          </w:tcPr>
          <w:p w14:paraId="3EB6B53C">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凡有关本协议的通知、请求或其他通讯往来，须以文字为准。本协议规定的任何通知都必须依照以上竞标方提供的联系方式。</w:t>
            </w:r>
          </w:p>
          <w:p w14:paraId="7D0D038A">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上述地址适用于协议履行期间各方各类通知、协议、函告等文件以及仲裁、诉讼、强制执行期间传票、通知</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判决等法律文书的送达。如果以上列明的任一方通讯地址、号码或收件人发生变更，发生变化的一方应提前五个工作日向协议其他方和仲裁机构、司法机关（如争议已进入司法程序解决）递交书面变更告知书，未履行提前告知义务的，不发生变更效果。如进入司法程序后，当事人向仲裁机构、司法机关确认的送达地址与本协议约定地址不一致的，以司法确认地址为准。</w:t>
            </w:r>
          </w:p>
          <w:p w14:paraId="6B44F31E">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协议各方承诺上述通讯信息真实有效。如因各方提供的相关信息不准确或发生变更但未有效通知其他方或当事人和指定接收人拒绝签收等原因，导致文书未能被实际接收或送达，邮寄送达的，以文书退回之日视为送达之日；直接送达的，送达人当场在送达回执上记明情况之日为送达之日。因此导致的商业信函和诉讼文书的送达法律后果由接收方自行承担。仲裁机构、司法机关同样可基于本条之约定，适用于法律文书送达方式和赋予效力。</w:t>
            </w:r>
          </w:p>
          <w:p w14:paraId="772914FC">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【请按以上要求明确回复卖方地址、联系人、电话、邮编、收件人的联系方式】</w:t>
            </w:r>
          </w:p>
        </w:tc>
        <w:tc>
          <w:tcPr>
            <w:tcW w:w="1526" w:type="pct"/>
            <w:vAlign w:val="center"/>
          </w:tcPr>
          <w:p w14:paraId="19DBB52E">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卖方地址：</w:t>
            </w:r>
          </w:p>
          <w:p w14:paraId="01CC591D">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联系人：</w:t>
            </w:r>
          </w:p>
          <w:p w14:paraId="7D815EBC">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电话：</w:t>
            </w:r>
          </w:p>
          <w:p w14:paraId="2A40F970">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邮编：</w:t>
            </w:r>
          </w:p>
          <w:p w14:paraId="1393422D">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收件人：</w:t>
            </w:r>
          </w:p>
          <w:p w14:paraId="6ABF06B4">
            <w:pPr>
              <w:spacing w:line="360" w:lineRule="exact"/>
              <w:jc w:val="center"/>
              <w:rPr>
                <w:rFonts w:ascii="仿宋_GB2312" w:hAnsi="仿宋_GB2312" w:eastAsia="仿宋_GB2312" w:cs="仿宋_GB2312"/>
                <w:sz w:val="24"/>
                <w:szCs w:val="24"/>
              </w:rPr>
            </w:pPr>
          </w:p>
        </w:tc>
        <w:tc>
          <w:tcPr>
            <w:tcW w:w="490" w:type="pct"/>
            <w:vAlign w:val="center"/>
          </w:tcPr>
          <w:p w14:paraId="21F23247">
            <w:pPr>
              <w:spacing w:line="360" w:lineRule="exact"/>
              <w:jc w:val="center"/>
              <w:rPr>
                <w:rFonts w:ascii="仿宋_GB2312" w:hAnsi="仿宋_GB2312" w:eastAsia="仿宋_GB2312" w:cs="仿宋_GB2312"/>
                <w:sz w:val="24"/>
                <w:szCs w:val="24"/>
              </w:rPr>
            </w:pPr>
          </w:p>
        </w:tc>
      </w:tr>
      <w:tr w14:paraId="3734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vAlign w:val="center"/>
          </w:tcPr>
          <w:p w14:paraId="16EA9764">
            <w:pPr>
              <w:spacing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599" w:type="pct"/>
            <w:vAlign w:val="center"/>
          </w:tcPr>
          <w:p w14:paraId="0140F669">
            <w:pPr>
              <w:spacing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责任与义务</w:t>
            </w:r>
          </w:p>
        </w:tc>
        <w:tc>
          <w:tcPr>
            <w:tcW w:w="2118" w:type="pct"/>
          </w:tcPr>
          <w:p w14:paraId="11DFB855">
            <w:pPr>
              <w:pStyle w:val="18"/>
              <w:keepNext w:val="0"/>
              <w:keepLines w:val="0"/>
              <w:pageBreakBefore w:val="0"/>
              <w:widowControl w:val="0"/>
              <w:kinsoku/>
              <w:wordWrap/>
              <w:overflowPunct/>
              <w:topLinePunct w:val="0"/>
              <w:bidi w:val="0"/>
              <w:adjustRightInd/>
              <w:snapToGrid/>
              <w:spacing w:before="0" w:beforeAutospacing="0" w:after="0" w:afterAutospacing="0" w:line="360" w:lineRule="exact"/>
              <w:jc w:val="both"/>
              <w:textAlignment w:val="auto"/>
              <w:rPr>
                <w:rFonts w:hint="eastAsia" w:ascii="仿宋_GB2312" w:hAnsi="仿宋_GB2312" w:eastAsia="仿宋_GB2312" w:cs="仿宋_GB2312"/>
                <w:kern w:val="0"/>
                <w:sz w:val="24"/>
                <w:szCs w:val="24"/>
                <w:lang w:val="zh-CN" w:eastAsia="zh-CN" w:bidi="zh-CN"/>
              </w:rPr>
            </w:pPr>
            <w:r>
              <w:rPr>
                <w:rFonts w:hint="eastAsia" w:ascii="仿宋_GB2312" w:hAnsi="仿宋_GB2312" w:eastAsia="仿宋_GB2312" w:cs="仿宋_GB2312"/>
                <w:kern w:val="0"/>
                <w:sz w:val="24"/>
                <w:szCs w:val="24"/>
                <w:lang w:val="zh-CN" w:eastAsia="zh-CN" w:bidi="zh-CN"/>
              </w:rPr>
              <w:t>1.投标方接受招标方委托提供国内货物运输代理服务。投标方应提供24小时服务电话及联系人，并针对招标方的服务要求成立相应的项目小组。</w:t>
            </w:r>
          </w:p>
          <w:p w14:paraId="0EE0BF02">
            <w:pPr>
              <w:pStyle w:val="18"/>
              <w:keepNext w:val="0"/>
              <w:keepLines w:val="0"/>
              <w:pageBreakBefore w:val="0"/>
              <w:widowControl w:val="0"/>
              <w:kinsoku/>
              <w:wordWrap/>
              <w:overflowPunct/>
              <w:topLinePunct w:val="0"/>
              <w:bidi w:val="0"/>
              <w:adjustRightInd/>
              <w:snapToGrid/>
              <w:spacing w:before="0" w:beforeAutospacing="0" w:after="0" w:afterAutospacing="0" w:line="360" w:lineRule="exact"/>
              <w:jc w:val="both"/>
              <w:textAlignment w:val="auto"/>
              <w:rPr>
                <w:rFonts w:hint="eastAsia" w:ascii="仿宋_GB2312" w:hAnsi="仿宋_GB2312" w:eastAsia="仿宋_GB2312" w:cs="仿宋_GB2312"/>
                <w:kern w:val="0"/>
                <w:sz w:val="24"/>
                <w:szCs w:val="24"/>
                <w:lang w:val="zh-CN" w:eastAsia="zh-CN" w:bidi="zh-CN"/>
              </w:rPr>
            </w:pPr>
            <w:r>
              <w:rPr>
                <w:rFonts w:hint="eastAsia" w:ascii="仿宋_GB2312" w:hAnsi="仿宋_GB2312" w:eastAsia="仿宋_GB2312" w:cs="仿宋_GB2312"/>
                <w:kern w:val="0"/>
                <w:sz w:val="24"/>
                <w:szCs w:val="24"/>
                <w:lang w:val="zh-CN" w:eastAsia="zh-CN" w:bidi="zh-CN"/>
              </w:rPr>
              <w:t>2.投标方应在招标方指定的时间、日期、地点提货，投标方接到招标方的货物，按票按件数验收，</w:t>
            </w:r>
            <w:bookmarkStart w:id="3" w:name="OLE_LINK4"/>
            <w:r>
              <w:rPr>
                <w:rFonts w:hint="eastAsia" w:ascii="仿宋_GB2312" w:hAnsi="仿宋_GB2312" w:eastAsia="仿宋_GB2312" w:cs="仿宋_GB2312"/>
                <w:kern w:val="0"/>
                <w:sz w:val="24"/>
                <w:szCs w:val="24"/>
                <w:lang w:val="zh-CN" w:eastAsia="zh-CN" w:bidi="zh-CN"/>
              </w:rPr>
              <w:t>验收前需检查货物是否贴上HU标签</w:t>
            </w:r>
            <w:bookmarkEnd w:id="3"/>
            <w:r>
              <w:rPr>
                <w:rFonts w:hint="eastAsia" w:ascii="仿宋_GB2312" w:hAnsi="仿宋_GB2312" w:eastAsia="仿宋_GB2312" w:cs="仿宋_GB2312"/>
                <w:kern w:val="0"/>
                <w:sz w:val="24"/>
                <w:szCs w:val="24"/>
                <w:lang w:val="zh-CN" w:eastAsia="zh-CN" w:bidi="zh-CN"/>
              </w:rPr>
              <w:t>，拍摄并留存货物照片，确保货物数量、发票件数和货物照片件数匹配。运输完成后，办好交接签收手续，按照招标方的要求让收货人签收运单。从投标方接到招标方货物后到交接前，投标方需承担运输风险。若给招标方造成损失的，投标方应承担全部赔偿责任。</w:t>
            </w:r>
          </w:p>
          <w:p w14:paraId="0CD35910">
            <w:pPr>
              <w:pStyle w:val="18"/>
              <w:keepNext w:val="0"/>
              <w:keepLines w:val="0"/>
              <w:pageBreakBefore w:val="0"/>
              <w:widowControl w:val="0"/>
              <w:kinsoku/>
              <w:wordWrap/>
              <w:overflowPunct/>
              <w:topLinePunct w:val="0"/>
              <w:bidi w:val="0"/>
              <w:adjustRightInd/>
              <w:snapToGrid/>
              <w:spacing w:before="0" w:beforeAutospacing="0" w:after="0" w:afterAutospacing="0" w:line="360" w:lineRule="exact"/>
              <w:jc w:val="both"/>
              <w:textAlignment w:val="auto"/>
              <w:rPr>
                <w:rFonts w:hint="eastAsia" w:ascii="仿宋_GB2312" w:hAnsi="仿宋_GB2312" w:eastAsia="仿宋_GB2312" w:cs="仿宋_GB2312"/>
                <w:kern w:val="0"/>
                <w:sz w:val="24"/>
                <w:szCs w:val="24"/>
                <w:lang w:val="zh-CN" w:eastAsia="zh-CN" w:bidi="zh-CN"/>
              </w:rPr>
            </w:pPr>
            <w:bookmarkStart w:id="4" w:name="OLE_LINK11"/>
            <w:r>
              <w:rPr>
                <w:rFonts w:hint="eastAsia" w:ascii="仿宋_GB2312" w:hAnsi="仿宋_GB2312" w:eastAsia="仿宋_GB2312" w:cs="仿宋_GB2312"/>
                <w:kern w:val="0"/>
                <w:sz w:val="24"/>
                <w:szCs w:val="24"/>
                <w:lang w:val="zh-CN" w:eastAsia="zh-CN" w:bidi="zh-CN"/>
              </w:rPr>
              <w:t>3.投标方代理招标方国内航材陆运到门业务，车辆尺寸必须满足</w:t>
            </w:r>
            <w:r>
              <w:rPr>
                <w:rFonts w:hint="eastAsia" w:ascii="仿宋_GB2312" w:hAnsi="仿宋_GB2312" w:eastAsia="仿宋_GB2312" w:cs="仿宋_GB2312"/>
                <w:kern w:val="0"/>
                <w:sz w:val="24"/>
                <w:szCs w:val="24"/>
                <w:lang w:val="en-US" w:eastAsia="zh-CN" w:bidi="zh-CN"/>
              </w:rPr>
              <w:t>招标方及相应</w:t>
            </w:r>
            <w:r>
              <w:rPr>
                <w:rFonts w:hint="eastAsia" w:ascii="仿宋_GB2312" w:hAnsi="仿宋_GB2312" w:eastAsia="仿宋_GB2312" w:cs="仿宋_GB2312"/>
                <w:kern w:val="0"/>
                <w:sz w:val="24"/>
                <w:szCs w:val="24"/>
                <w:lang w:val="zh-CN" w:eastAsia="zh-CN" w:bidi="zh-CN"/>
              </w:rPr>
              <w:t>运输要求</w:t>
            </w:r>
            <w:bookmarkStart w:id="5" w:name="OLE_LINK7"/>
            <w:r>
              <w:rPr>
                <w:rFonts w:hint="eastAsia" w:ascii="仿宋_GB2312" w:hAnsi="仿宋_GB2312" w:eastAsia="仿宋_GB2312" w:cs="仿宋_GB2312"/>
                <w:kern w:val="0"/>
                <w:sz w:val="24"/>
                <w:szCs w:val="24"/>
                <w:lang w:val="zh-CN" w:eastAsia="zh-CN" w:bidi="zh-CN"/>
              </w:rPr>
              <w:t>。</w:t>
            </w:r>
          </w:p>
          <w:bookmarkEnd w:id="4"/>
          <w:bookmarkEnd w:id="5"/>
          <w:p w14:paraId="5623C35E">
            <w:pPr>
              <w:pStyle w:val="18"/>
              <w:keepNext w:val="0"/>
              <w:keepLines w:val="0"/>
              <w:pageBreakBefore w:val="0"/>
              <w:widowControl w:val="0"/>
              <w:kinsoku/>
              <w:wordWrap/>
              <w:overflowPunct/>
              <w:topLinePunct w:val="0"/>
              <w:bidi w:val="0"/>
              <w:adjustRightInd/>
              <w:snapToGrid/>
              <w:spacing w:before="0" w:beforeAutospacing="0" w:after="0" w:afterAutospacing="0" w:line="360" w:lineRule="exact"/>
              <w:jc w:val="both"/>
              <w:textAlignment w:val="auto"/>
              <w:rPr>
                <w:rFonts w:hint="eastAsia" w:ascii="仿宋_GB2312" w:hAnsi="仿宋_GB2312" w:eastAsia="仿宋_GB2312" w:cs="仿宋_GB2312"/>
                <w:kern w:val="0"/>
                <w:sz w:val="24"/>
                <w:szCs w:val="24"/>
                <w:lang w:val="zh-CN" w:eastAsia="zh-CN" w:bidi="zh-CN"/>
              </w:rPr>
            </w:pPr>
            <w:r>
              <w:rPr>
                <w:rFonts w:hint="eastAsia" w:ascii="仿宋_GB2312" w:hAnsi="仿宋_GB2312" w:eastAsia="仿宋_GB2312" w:cs="仿宋_GB2312"/>
                <w:kern w:val="0"/>
                <w:sz w:val="24"/>
                <w:szCs w:val="24"/>
                <w:lang w:val="zh-CN" w:eastAsia="zh-CN" w:bidi="zh-CN"/>
              </w:rPr>
              <w:t>4.投标方在航材运输时需对操作过程进行拍照，用作招标方收货发现损伤的投标方自证材料，若招标方发现货物损伤，投标方无法出具自证材料的</w:t>
            </w:r>
            <w:r>
              <w:rPr>
                <w:rFonts w:hint="eastAsia" w:ascii="仿宋_GB2312" w:hAnsi="仿宋_GB2312" w:eastAsia="仿宋_GB2312" w:cs="仿宋_GB2312"/>
                <w:kern w:val="0"/>
                <w:sz w:val="24"/>
                <w:szCs w:val="24"/>
                <w:lang w:val="en-US" w:eastAsia="zh-CN" w:bidi="zh-CN"/>
              </w:rPr>
              <w:t>或出具的自证材料不符合招标方要求的</w:t>
            </w:r>
            <w:r>
              <w:rPr>
                <w:rFonts w:hint="eastAsia" w:ascii="仿宋_GB2312" w:hAnsi="仿宋_GB2312" w:eastAsia="仿宋_GB2312" w:cs="仿宋_GB2312"/>
                <w:kern w:val="0"/>
                <w:sz w:val="24"/>
                <w:szCs w:val="24"/>
                <w:lang w:val="zh-CN" w:eastAsia="zh-CN" w:bidi="zh-CN"/>
              </w:rPr>
              <w:t>应向招标方承担全部赔偿责任，如货物外包装完好，里面货物受损则投标方不承担任何责任。如投标方提运前已发现货物外包装受损受潮可拒绝承运，或经通报招标方，由招标方确认可以发运后再发运，则里面货物受损投标方同样不承担责任。货物到达后，投标方根据招标方要求提供签收文件。每个工作日内通报一次招标方货物运输情况，特殊情况下以招标方要求为准。如在投标方承运过程中发生任何意外情况，投标方必须在2个小时内告知招标方；如因投标方未能在规定的时间内告知招标方，并给招标方带来损失的，由此产生的一切损失由投标方负责赔偿。投标方应按招标方指示操作，否则投标方应承担由此造成的损失。</w:t>
            </w:r>
          </w:p>
          <w:p w14:paraId="038C2753">
            <w:pPr>
              <w:pStyle w:val="18"/>
              <w:keepNext w:val="0"/>
              <w:keepLines w:val="0"/>
              <w:pageBreakBefore w:val="0"/>
              <w:widowControl w:val="0"/>
              <w:kinsoku/>
              <w:wordWrap/>
              <w:overflowPunct/>
              <w:topLinePunct w:val="0"/>
              <w:bidi w:val="0"/>
              <w:adjustRightInd/>
              <w:snapToGrid/>
              <w:spacing w:before="0" w:beforeAutospacing="0" w:after="0" w:afterAutospacing="0" w:line="360" w:lineRule="exact"/>
              <w:jc w:val="both"/>
              <w:textAlignment w:val="auto"/>
              <w:rPr>
                <w:rFonts w:hint="eastAsia" w:ascii="仿宋_GB2312" w:hAnsi="仿宋_GB2312" w:eastAsia="仿宋_GB2312" w:cs="仿宋_GB2312"/>
                <w:kern w:val="0"/>
                <w:sz w:val="24"/>
                <w:szCs w:val="24"/>
                <w:lang w:val="zh-CN" w:eastAsia="zh-CN" w:bidi="zh-CN"/>
              </w:rPr>
            </w:pPr>
            <w:r>
              <w:rPr>
                <w:rFonts w:hint="eastAsia" w:ascii="仿宋_GB2312" w:hAnsi="仿宋_GB2312" w:eastAsia="仿宋_GB2312" w:cs="仿宋_GB2312"/>
                <w:kern w:val="0"/>
                <w:sz w:val="24"/>
                <w:szCs w:val="24"/>
                <w:lang w:val="zh-CN" w:eastAsia="zh-CN" w:bidi="zh-CN"/>
              </w:rPr>
              <w:t>5.投标方负责将招标方所交运的货物安全、准确、快捷地送达目的地。</w:t>
            </w:r>
          </w:p>
          <w:p w14:paraId="08B3F98B">
            <w:pPr>
              <w:pStyle w:val="18"/>
              <w:keepNext w:val="0"/>
              <w:keepLines w:val="0"/>
              <w:pageBreakBefore w:val="0"/>
              <w:widowControl w:val="0"/>
              <w:kinsoku/>
              <w:wordWrap/>
              <w:overflowPunct/>
              <w:topLinePunct w:val="0"/>
              <w:bidi w:val="0"/>
              <w:adjustRightInd/>
              <w:snapToGrid/>
              <w:spacing w:before="0" w:beforeAutospacing="0" w:after="0" w:afterAutospacing="0" w:line="360" w:lineRule="exact"/>
              <w:jc w:val="both"/>
              <w:textAlignment w:val="auto"/>
              <w:rPr>
                <w:rFonts w:hint="eastAsia" w:ascii="仿宋_GB2312" w:hAnsi="仿宋_GB2312" w:eastAsia="仿宋_GB2312" w:cs="仿宋_GB2312"/>
                <w:kern w:val="0"/>
                <w:sz w:val="24"/>
                <w:szCs w:val="24"/>
                <w:lang w:val="zh-CN" w:eastAsia="zh-CN" w:bidi="zh-CN"/>
              </w:rPr>
            </w:pPr>
            <w:r>
              <w:rPr>
                <w:rFonts w:hint="eastAsia" w:ascii="仿宋_GB2312" w:hAnsi="仿宋_GB2312" w:eastAsia="仿宋_GB2312" w:cs="仿宋_GB2312"/>
                <w:kern w:val="0"/>
                <w:sz w:val="24"/>
                <w:szCs w:val="24"/>
                <w:lang w:val="zh-CN" w:eastAsia="zh-CN" w:bidi="zh-CN"/>
              </w:rPr>
              <w:t>6.非固定运输路线组合较多，投标方优先选择</w:t>
            </w:r>
            <w:r>
              <w:rPr>
                <w:rFonts w:hint="eastAsia" w:ascii="仿宋_GB2312" w:hAnsi="仿宋_GB2312" w:eastAsia="仿宋_GB2312" w:cs="仿宋_GB2312"/>
                <w:kern w:val="0"/>
                <w:sz w:val="24"/>
                <w:szCs w:val="24"/>
                <w:lang w:val="en-US" w:eastAsia="zh-CN" w:bidi="zh-CN"/>
              </w:rPr>
              <w:t>高德地图中货车高速优先的最短距离</w:t>
            </w:r>
            <w:r>
              <w:rPr>
                <w:rFonts w:hint="eastAsia" w:ascii="仿宋_GB2312" w:hAnsi="仿宋_GB2312" w:eastAsia="仿宋_GB2312" w:cs="仿宋_GB2312"/>
                <w:kern w:val="0"/>
                <w:sz w:val="24"/>
                <w:szCs w:val="24"/>
                <w:lang w:val="zh-CN" w:eastAsia="zh-CN" w:bidi="zh-CN"/>
              </w:rPr>
              <w:t>安排运输，若因其他原因临时性提升运输等级、改变运输路线等操作，涉及费用变更需要经招标方书面确认。若未经招标方书面确认又未选择总费用最低的路线安排运输，招标方有权仅按照总费用最低的路线进行支付。</w:t>
            </w:r>
          </w:p>
          <w:p w14:paraId="55F02891">
            <w:pPr>
              <w:pStyle w:val="18"/>
              <w:keepNext w:val="0"/>
              <w:keepLines w:val="0"/>
              <w:pageBreakBefore w:val="0"/>
              <w:widowControl w:val="0"/>
              <w:kinsoku/>
              <w:wordWrap/>
              <w:overflowPunct/>
              <w:topLinePunct w:val="0"/>
              <w:bidi w:val="0"/>
              <w:adjustRightInd/>
              <w:snapToGrid/>
              <w:spacing w:before="0" w:beforeAutospacing="0" w:after="0" w:afterAutospacing="0" w:line="360" w:lineRule="exact"/>
              <w:jc w:val="both"/>
              <w:textAlignment w:val="auto"/>
              <w:rPr>
                <w:rFonts w:hint="eastAsia" w:ascii="仿宋_GB2312" w:hAnsi="仿宋_GB2312" w:eastAsia="仿宋_GB2312" w:cs="仿宋_GB2312"/>
                <w:kern w:val="0"/>
                <w:sz w:val="24"/>
                <w:szCs w:val="24"/>
                <w:lang w:val="zh-CN" w:eastAsia="zh-CN" w:bidi="zh-CN"/>
              </w:rPr>
            </w:pPr>
            <w:r>
              <w:rPr>
                <w:rFonts w:hint="eastAsia" w:ascii="仿宋_GB2312" w:hAnsi="仿宋_GB2312" w:eastAsia="仿宋_GB2312" w:cs="仿宋_GB2312"/>
                <w:kern w:val="0"/>
                <w:sz w:val="24"/>
                <w:szCs w:val="24"/>
                <w:lang w:val="zh-CN" w:eastAsia="zh-CN" w:bidi="zh-CN"/>
              </w:rPr>
              <w:t>7.运输过程中出现的任何问题，投标方应及时通知招标方，并在收到招标方的指示后采取措施解决问题。</w:t>
            </w:r>
          </w:p>
          <w:p w14:paraId="7DD5EB7E">
            <w:pPr>
              <w:pStyle w:val="18"/>
              <w:keepNext w:val="0"/>
              <w:keepLines w:val="0"/>
              <w:pageBreakBefore w:val="0"/>
              <w:widowControl w:val="0"/>
              <w:kinsoku/>
              <w:wordWrap/>
              <w:overflowPunct/>
              <w:topLinePunct w:val="0"/>
              <w:bidi w:val="0"/>
              <w:adjustRightInd/>
              <w:snapToGrid/>
              <w:spacing w:before="0" w:beforeAutospacing="0" w:after="0" w:afterAutospacing="0" w:line="360" w:lineRule="exact"/>
              <w:jc w:val="both"/>
              <w:textAlignment w:val="auto"/>
              <w:rPr>
                <w:rFonts w:hint="eastAsia" w:ascii="仿宋_GB2312" w:hAnsi="仿宋_GB2312" w:eastAsia="仿宋_GB2312" w:cs="仿宋_GB2312"/>
                <w:kern w:val="0"/>
                <w:sz w:val="24"/>
                <w:szCs w:val="24"/>
                <w:lang w:val="zh-CN" w:eastAsia="zh-CN" w:bidi="zh-CN"/>
              </w:rPr>
            </w:pPr>
            <w:r>
              <w:rPr>
                <w:rFonts w:hint="eastAsia" w:ascii="仿宋_GB2312" w:hAnsi="仿宋_GB2312" w:eastAsia="仿宋_GB2312" w:cs="仿宋_GB2312"/>
                <w:kern w:val="0"/>
                <w:sz w:val="24"/>
                <w:szCs w:val="24"/>
                <w:lang w:val="zh-CN" w:eastAsia="zh-CN" w:bidi="zh-CN"/>
              </w:rPr>
              <w:t>8.投标方应及时解决在服务过程中出现的问题，主动配合招标方对其服务质量的考核，接</w:t>
            </w:r>
            <w:r>
              <w:rPr>
                <w:rFonts w:hint="eastAsia" w:ascii="仿宋_GB2312" w:hAnsi="仿宋_GB2312" w:eastAsia="仿宋_GB2312" w:cs="仿宋_GB2312"/>
                <w:kern w:val="0"/>
                <w:sz w:val="24"/>
                <w:szCs w:val="24"/>
                <w:lang w:val="en-US" w:eastAsia="zh-CN" w:bidi="zh-CN"/>
              </w:rPr>
              <w:t>受</w:t>
            </w:r>
            <w:r>
              <w:rPr>
                <w:rFonts w:hint="eastAsia" w:ascii="仿宋_GB2312" w:hAnsi="仿宋_GB2312" w:eastAsia="仿宋_GB2312" w:cs="仿宋_GB2312"/>
                <w:kern w:val="0"/>
                <w:sz w:val="24"/>
                <w:szCs w:val="24"/>
                <w:lang w:val="zh-CN" w:eastAsia="zh-CN" w:bidi="zh-CN"/>
              </w:rPr>
              <w:t>招标方的考核结果。</w:t>
            </w:r>
          </w:p>
          <w:p w14:paraId="3EC5BD9A">
            <w:pPr>
              <w:pStyle w:val="18"/>
              <w:keepNext w:val="0"/>
              <w:keepLines w:val="0"/>
              <w:pageBreakBefore w:val="0"/>
              <w:widowControl w:val="0"/>
              <w:kinsoku/>
              <w:wordWrap/>
              <w:overflowPunct/>
              <w:topLinePunct w:val="0"/>
              <w:bidi w:val="0"/>
              <w:adjustRightInd/>
              <w:snapToGrid/>
              <w:spacing w:before="0" w:beforeAutospacing="0" w:after="0" w:afterAutospacing="0" w:line="360" w:lineRule="exact"/>
              <w:jc w:val="both"/>
              <w:textAlignment w:val="auto"/>
              <w:rPr>
                <w:rFonts w:hint="eastAsia" w:ascii="仿宋_GB2312" w:hAnsi="仿宋_GB2312" w:eastAsia="仿宋_GB2312" w:cs="仿宋_GB2312"/>
                <w:kern w:val="0"/>
                <w:sz w:val="24"/>
                <w:szCs w:val="24"/>
                <w:lang w:val="zh-CN" w:eastAsia="zh-CN" w:bidi="zh-CN"/>
              </w:rPr>
            </w:pPr>
            <w:r>
              <w:rPr>
                <w:rFonts w:hint="eastAsia" w:ascii="仿宋_GB2312" w:hAnsi="仿宋_GB2312" w:eastAsia="仿宋_GB2312" w:cs="仿宋_GB2312"/>
                <w:kern w:val="0"/>
                <w:sz w:val="24"/>
                <w:szCs w:val="24"/>
                <w:lang w:val="zh-CN" w:eastAsia="zh-CN" w:bidi="zh-CN"/>
              </w:rPr>
              <w:t>9.投标方应及时反馈货物的发运信息、车辆情况。有关货物的任何问题都应在第一时间通知招标方。</w:t>
            </w:r>
          </w:p>
          <w:p w14:paraId="6C833E6E">
            <w:pPr>
              <w:pStyle w:val="18"/>
              <w:keepNext w:val="0"/>
              <w:keepLines w:val="0"/>
              <w:pageBreakBefore w:val="0"/>
              <w:widowControl w:val="0"/>
              <w:kinsoku/>
              <w:wordWrap/>
              <w:overflowPunct/>
              <w:topLinePunct w:val="0"/>
              <w:bidi w:val="0"/>
              <w:adjustRightInd/>
              <w:snapToGrid/>
              <w:spacing w:before="0" w:beforeAutospacing="0" w:after="0" w:afterAutospacing="0" w:line="360" w:lineRule="exact"/>
              <w:jc w:val="both"/>
              <w:textAlignment w:val="auto"/>
              <w:rPr>
                <w:rFonts w:hint="eastAsia" w:ascii="仿宋_GB2312" w:hAnsi="仿宋_GB2312" w:eastAsia="仿宋_GB2312" w:cs="仿宋_GB2312"/>
                <w:kern w:val="0"/>
                <w:sz w:val="24"/>
                <w:szCs w:val="24"/>
                <w:lang w:val="zh-CN" w:eastAsia="zh-CN" w:bidi="zh-CN"/>
              </w:rPr>
            </w:pPr>
            <w:r>
              <w:rPr>
                <w:rFonts w:hint="eastAsia" w:ascii="仿宋_GB2312" w:hAnsi="仿宋_GB2312" w:eastAsia="仿宋_GB2312" w:cs="仿宋_GB2312"/>
                <w:kern w:val="0"/>
                <w:sz w:val="24"/>
                <w:szCs w:val="24"/>
                <w:lang w:val="zh-CN" w:eastAsia="zh-CN" w:bidi="zh-CN"/>
              </w:rPr>
              <w:t>10.在运输过程中，当招标方要求改变运输路线、收货人或撤回运输指示时，投标方有义务协助解决。</w:t>
            </w:r>
          </w:p>
          <w:p w14:paraId="70F606B5">
            <w:pPr>
              <w:pStyle w:val="18"/>
              <w:keepNext w:val="0"/>
              <w:keepLines w:val="0"/>
              <w:pageBreakBefore w:val="0"/>
              <w:widowControl w:val="0"/>
              <w:kinsoku/>
              <w:wordWrap/>
              <w:overflowPunct/>
              <w:topLinePunct w:val="0"/>
              <w:bidi w:val="0"/>
              <w:adjustRightInd/>
              <w:snapToGrid/>
              <w:spacing w:before="0" w:beforeAutospacing="0" w:after="0" w:afterAutospacing="0" w:line="360" w:lineRule="exact"/>
              <w:jc w:val="both"/>
              <w:textAlignment w:val="auto"/>
              <w:rPr>
                <w:rFonts w:hint="eastAsia" w:ascii="仿宋_GB2312" w:hAnsi="仿宋_GB2312" w:eastAsia="仿宋_GB2312" w:cs="仿宋_GB2312"/>
                <w:kern w:val="0"/>
                <w:sz w:val="24"/>
                <w:szCs w:val="24"/>
                <w:lang w:val="zh-CN" w:eastAsia="zh-CN" w:bidi="zh-CN"/>
              </w:rPr>
            </w:pPr>
            <w:r>
              <w:rPr>
                <w:rFonts w:hint="eastAsia" w:ascii="仿宋_GB2312" w:hAnsi="仿宋_GB2312" w:eastAsia="仿宋_GB2312" w:cs="仿宋_GB2312"/>
                <w:kern w:val="0"/>
                <w:sz w:val="24"/>
                <w:szCs w:val="24"/>
                <w:lang w:val="zh-CN" w:eastAsia="zh-CN" w:bidi="zh-CN"/>
              </w:rPr>
              <w:t>11.投标方应建立运输台账，内容包括但不限于收到航材清单、发运航材清单、运输信息变更等。每天汇总通报航材信息，包括待提、已提未发（原因）、在途航材信息。</w:t>
            </w:r>
          </w:p>
          <w:p w14:paraId="4A2DF35A">
            <w:pPr>
              <w:pStyle w:val="18"/>
              <w:keepNext w:val="0"/>
              <w:keepLines w:val="0"/>
              <w:pageBreakBefore w:val="0"/>
              <w:widowControl w:val="0"/>
              <w:kinsoku/>
              <w:wordWrap/>
              <w:overflowPunct/>
              <w:topLinePunct w:val="0"/>
              <w:bidi w:val="0"/>
              <w:adjustRightInd/>
              <w:snapToGrid/>
              <w:spacing w:before="0" w:beforeAutospacing="0" w:after="0" w:afterAutospacing="0" w:line="360" w:lineRule="exact"/>
              <w:jc w:val="both"/>
              <w:textAlignment w:val="auto"/>
              <w:rPr>
                <w:rFonts w:hint="eastAsia" w:ascii="仿宋_GB2312" w:hAnsi="仿宋_GB2312" w:eastAsia="仿宋_GB2312" w:cs="仿宋_GB2312"/>
                <w:kern w:val="0"/>
                <w:sz w:val="24"/>
                <w:szCs w:val="24"/>
                <w:lang w:val="zh-CN" w:eastAsia="zh-CN" w:bidi="zh-CN"/>
              </w:rPr>
            </w:pPr>
            <w:r>
              <w:rPr>
                <w:rFonts w:hint="eastAsia" w:ascii="仿宋_GB2312" w:hAnsi="仿宋_GB2312" w:eastAsia="仿宋_GB2312" w:cs="仿宋_GB2312"/>
                <w:kern w:val="0"/>
                <w:sz w:val="24"/>
                <w:szCs w:val="24"/>
                <w:lang w:val="zh-CN" w:eastAsia="zh-CN" w:bidi="zh-CN"/>
              </w:rPr>
              <w:t>12.投标方对所接触的招标方信息资料应予以保密。</w:t>
            </w:r>
          </w:p>
          <w:p w14:paraId="5AF33AA1">
            <w:pPr>
              <w:pStyle w:val="18"/>
              <w:keepNext w:val="0"/>
              <w:keepLines w:val="0"/>
              <w:pageBreakBefore w:val="0"/>
              <w:widowControl w:val="0"/>
              <w:kinsoku/>
              <w:wordWrap/>
              <w:overflowPunct/>
              <w:topLinePunct w:val="0"/>
              <w:bidi w:val="0"/>
              <w:adjustRightInd/>
              <w:snapToGrid/>
              <w:spacing w:before="0" w:beforeAutospacing="0" w:after="0" w:afterAutospacing="0" w:line="360" w:lineRule="exact"/>
              <w:jc w:val="both"/>
              <w:textAlignment w:val="auto"/>
              <w:rPr>
                <w:rFonts w:hint="eastAsia" w:ascii="仿宋_GB2312" w:hAnsi="仿宋_GB2312" w:eastAsia="仿宋_GB2312" w:cs="仿宋_GB2312"/>
                <w:kern w:val="0"/>
                <w:sz w:val="24"/>
                <w:szCs w:val="24"/>
                <w:lang w:val="zh-CN" w:eastAsia="zh-CN" w:bidi="zh-CN"/>
              </w:rPr>
            </w:pPr>
            <w:r>
              <w:rPr>
                <w:rFonts w:hint="eastAsia" w:ascii="仿宋_GB2312" w:hAnsi="仿宋_GB2312" w:eastAsia="仿宋_GB2312" w:cs="仿宋_GB2312"/>
                <w:kern w:val="0"/>
                <w:sz w:val="24"/>
                <w:szCs w:val="24"/>
                <w:lang w:val="zh-CN" w:eastAsia="zh-CN" w:bidi="zh-CN"/>
              </w:rPr>
              <w:t>13.若投标方运输人员私带禁运物品，投标方应向招标方支付相当于当次运费金额30%的违约金，如违约金不足以弥补招标方损失的，投标方还应当就不足的部分向招标方另行赔偿。</w:t>
            </w:r>
          </w:p>
          <w:p w14:paraId="3C77FFCC">
            <w:pPr>
              <w:pStyle w:val="18"/>
              <w:keepNext w:val="0"/>
              <w:keepLines w:val="0"/>
              <w:pageBreakBefore w:val="0"/>
              <w:widowControl w:val="0"/>
              <w:kinsoku/>
              <w:wordWrap/>
              <w:overflowPunct/>
              <w:topLinePunct w:val="0"/>
              <w:bidi w:val="0"/>
              <w:adjustRightInd/>
              <w:snapToGrid/>
              <w:spacing w:before="0" w:beforeAutospacing="0" w:after="0" w:afterAutospacing="0" w:line="360" w:lineRule="exact"/>
              <w:jc w:val="both"/>
              <w:textAlignment w:val="auto"/>
              <w:rPr>
                <w:rFonts w:hint="eastAsia" w:ascii="仿宋_GB2312" w:hAnsi="仿宋_GB2312" w:eastAsia="仿宋_GB2312" w:cs="仿宋_GB2312"/>
                <w:kern w:val="0"/>
                <w:sz w:val="24"/>
                <w:szCs w:val="24"/>
                <w:lang w:val="zh-CN" w:eastAsia="zh-CN" w:bidi="zh-CN"/>
              </w:rPr>
            </w:pPr>
            <w:r>
              <w:rPr>
                <w:rFonts w:hint="eastAsia" w:ascii="仿宋_GB2312" w:hAnsi="仿宋_GB2312" w:eastAsia="仿宋_GB2312" w:cs="仿宋_GB2312"/>
                <w:kern w:val="0"/>
                <w:sz w:val="24"/>
                <w:szCs w:val="24"/>
                <w:lang w:val="zh-CN" w:eastAsia="zh-CN" w:bidi="zh-CN"/>
              </w:rPr>
              <w:t>14.投标方运输人员严禁对招标方的包车货物进行拼车，一经发现，招标方有权拒绝向投标方支付此次全部运输费，如招标方已经支付了上述运输费的，</w:t>
            </w:r>
            <w:bookmarkStart w:id="6" w:name="OLE_LINK1"/>
            <w:r>
              <w:rPr>
                <w:rFonts w:hint="eastAsia" w:ascii="仿宋_GB2312" w:hAnsi="仿宋_GB2312" w:eastAsia="仿宋_GB2312" w:cs="仿宋_GB2312"/>
                <w:kern w:val="0"/>
                <w:sz w:val="24"/>
                <w:szCs w:val="24"/>
                <w:lang w:val="zh-CN" w:eastAsia="zh-CN" w:bidi="zh-CN"/>
              </w:rPr>
              <w:t>投标方应当返还招标方该票业务的全额运输费的150%，其中50%作为违约金。</w:t>
            </w:r>
          </w:p>
          <w:bookmarkEnd w:id="6"/>
          <w:p w14:paraId="02543A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仿宋_GB2312" w:hAnsi="仿宋_GB2312" w:eastAsia="仿宋_GB2312" w:cs="仿宋_GB2312"/>
                <w:kern w:val="0"/>
                <w:sz w:val="24"/>
                <w:szCs w:val="24"/>
                <w:lang w:val="zh-CN" w:eastAsia="zh-CN" w:bidi="zh-CN"/>
              </w:rPr>
            </w:pPr>
            <w:bookmarkStart w:id="7" w:name="OLE_LINK12"/>
            <w:r>
              <w:rPr>
                <w:rFonts w:hint="eastAsia" w:ascii="仿宋_GB2312" w:hAnsi="仿宋_GB2312" w:eastAsia="仿宋_GB2312" w:cs="仿宋_GB2312"/>
                <w:kern w:val="0"/>
                <w:sz w:val="24"/>
                <w:szCs w:val="24"/>
                <w:lang w:val="en-US" w:eastAsia="zh-CN" w:bidi="zh-CN"/>
              </w:rPr>
              <w:t>15.Routine专车</w:t>
            </w:r>
            <w:r>
              <w:rPr>
                <w:rFonts w:hint="eastAsia" w:ascii="仿宋_GB2312" w:hAnsi="仿宋_GB2312" w:eastAsia="仿宋_GB2312" w:cs="仿宋_GB2312"/>
                <w:kern w:val="0"/>
                <w:sz w:val="24"/>
                <w:szCs w:val="24"/>
                <w:lang w:val="zh-CN" w:eastAsia="zh-CN" w:bidi="zh-CN"/>
              </w:rPr>
              <w:t>运输安排时，投标方响应时间不超过</w:t>
            </w:r>
            <w:r>
              <w:rPr>
                <w:rFonts w:hint="eastAsia" w:ascii="仿宋_GB2312" w:hAnsi="仿宋_GB2312" w:eastAsia="仿宋_GB2312" w:cs="仿宋_GB2312"/>
                <w:kern w:val="0"/>
                <w:sz w:val="24"/>
                <w:szCs w:val="24"/>
                <w:lang w:val="en-US" w:eastAsia="zh-CN" w:bidi="zh-CN"/>
              </w:rPr>
              <w:t>4</w:t>
            </w:r>
            <w:r>
              <w:rPr>
                <w:rFonts w:hint="eastAsia" w:ascii="仿宋_GB2312" w:hAnsi="仿宋_GB2312" w:eastAsia="仿宋_GB2312" w:cs="仿宋_GB2312"/>
                <w:kern w:val="0"/>
                <w:sz w:val="24"/>
                <w:szCs w:val="24"/>
                <w:lang w:val="zh-CN" w:eastAsia="zh-CN" w:bidi="zh-CN"/>
              </w:rPr>
              <w:t>小时【其中</w:t>
            </w:r>
            <w:r>
              <w:rPr>
                <w:rFonts w:hint="eastAsia" w:ascii="仿宋_GB2312" w:hAnsi="仿宋_GB2312" w:eastAsia="仿宋_GB2312" w:cs="仿宋_GB2312"/>
                <w:kern w:val="0"/>
                <w:sz w:val="24"/>
                <w:szCs w:val="24"/>
                <w:lang w:val="en-US" w:eastAsia="zh-CN" w:bidi="zh-CN"/>
              </w:rPr>
              <w:t>2</w:t>
            </w:r>
            <w:r>
              <w:rPr>
                <w:rFonts w:hint="eastAsia" w:ascii="仿宋_GB2312" w:hAnsi="仿宋_GB2312" w:eastAsia="仿宋_GB2312" w:cs="仿宋_GB2312"/>
                <w:kern w:val="0"/>
                <w:sz w:val="24"/>
                <w:szCs w:val="24"/>
                <w:lang w:val="zh-CN" w:eastAsia="zh-CN" w:bidi="zh-CN"/>
              </w:rPr>
              <w:t>小时内回复车辆、人员信息，</w:t>
            </w:r>
            <w:r>
              <w:rPr>
                <w:rFonts w:hint="eastAsia" w:ascii="仿宋_GB2312" w:hAnsi="仿宋_GB2312" w:eastAsia="仿宋_GB2312" w:cs="仿宋_GB2312"/>
                <w:kern w:val="0"/>
                <w:sz w:val="24"/>
                <w:szCs w:val="24"/>
                <w:lang w:val="en-US" w:eastAsia="zh-CN" w:bidi="zh-CN"/>
              </w:rPr>
              <w:t>信息通报后车辆2</w:t>
            </w:r>
            <w:r>
              <w:rPr>
                <w:rFonts w:hint="eastAsia" w:ascii="仿宋_GB2312" w:hAnsi="仿宋_GB2312" w:eastAsia="仿宋_GB2312" w:cs="仿宋_GB2312"/>
                <w:kern w:val="0"/>
                <w:sz w:val="24"/>
                <w:szCs w:val="24"/>
                <w:lang w:val="zh-CN" w:eastAsia="zh-CN" w:bidi="zh-CN"/>
              </w:rPr>
              <w:t>小时内到达提货地点】，即招标方发出运输通知后，至车辆到达指定地点的时间。如投标方自身原因导致响应时间超时</w:t>
            </w:r>
            <w:r>
              <w:rPr>
                <w:rFonts w:hint="eastAsia" w:ascii="仿宋_GB2312" w:hAnsi="仿宋_GB2312" w:eastAsia="仿宋_GB2312" w:cs="仿宋_GB2312"/>
                <w:kern w:val="0"/>
                <w:sz w:val="24"/>
                <w:szCs w:val="24"/>
                <w:lang w:val="en-US" w:eastAsia="zh-CN" w:bidi="zh-CN"/>
              </w:rPr>
              <w:t>30%</w:t>
            </w:r>
            <w:r>
              <w:rPr>
                <w:rFonts w:hint="eastAsia" w:ascii="仿宋_GB2312" w:hAnsi="仿宋_GB2312" w:eastAsia="仿宋_GB2312" w:cs="仿宋_GB2312"/>
                <w:kern w:val="0"/>
                <w:sz w:val="24"/>
                <w:szCs w:val="24"/>
                <w:lang w:val="zh-CN" w:eastAsia="zh-CN" w:bidi="zh-CN"/>
              </w:rPr>
              <w:t>，招标方有权扣除该票运费的10%；送达时间超过运输时限的30%以上，招标方有权扣除该票运费的10%，送达时间超过运输时限的50%以上或对招标方生产保障造成严重影响的，招标方有权免除该票的全部运费。</w:t>
            </w:r>
          </w:p>
          <w:p w14:paraId="51A9B6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both"/>
              <w:textAlignment w:val="auto"/>
              <w:rPr>
                <w:rFonts w:hint="default" w:ascii="仿宋_GB2312" w:hAnsi="仿宋_GB2312" w:eastAsia="仿宋_GB2312" w:cs="仿宋_GB2312"/>
                <w:kern w:val="0"/>
                <w:sz w:val="24"/>
                <w:szCs w:val="24"/>
                <w:lang w:val="en-US" w:eastAsia="zh-CN" w:bidi="zh-CN"/>
              </w:rPr>
            </w:pPr>
            <w:r>
              <w:rPr>
                <w:rFonts w:hint="eastAsia" w:ascii="仿宋_GB2312" w:hAnsi="仿宋_GB2312" w:eastAsia="仿宋_GB2312" w:cs="仿宋_GB2312"/>
                <w:kern w:val="0"/>
                <w:sz w:val="24"/>
                <w:szCs w:val="24"/>
                <w:lang w:val="en-US" w:eastAsia="zh-CN" w:bidi="zh-CN"/>
              </w:rPr>
              <w:t>16.航线AOG专车</w:t>
            </w:r>
            <w:r>
              <w:rPr>
                <w:rFonts w:hint="eastAsia" w:ascii="仿宋_GB2312" w:hAnsi="仿宋_GB2312" w:eastAsia="仿宋_GB2312" w:cs="仿宋_GB2312"/>
                <w:kern w:val="0"/>
                <w:sz w:val="24"/>
                <w:szCs w:val="24"/>
                <w:lang w:val="zh-CN" w:eastAsia="zh-CN" w:bidi="zh-CN"/>
              </w:rPr>
              <w:t>运输安排时，</w:t>
            </w:r>
            <w:r>
              <w:rPr>
                <w:rFonts w:hint="eastAsia" w:ascii="仿宋_GB2312" w:hAnsi="仿宋_GB2312" w:eastAsia="仿宋_GB2312" w:cs="仿宋_GB2312"/>
                <w:kern w:val="0"/>
                <w:sz w:val="24"/>
                <w:szCs w:val="24"/>
                <w:lang w:val="en-US" w:eastAsia="zh-CN" w:bidi="zh-CN"/>
              </w:rPr>
              <w:t>运输时限按响应时间加高德地图导航时间为准。</w:t>
            </w:r>
            <w:r>
              <w:rPr>
                <w:rFonts w:hint="eastAsia" w:ascii="仿宋_GB2312" w:hAnsi="仿宋_GB2312" w:eastAsia="仿宋_GB2312" w:cs="仿宋_GB2312"/>
                <w:kern w:val="0"/>
                <w:sz w:val="24"/>
                <w:szCs w:val="24"/>
                <w:lang w:val="zh-CN" w:eastAsia="zh-CN" w:bidi="zh-CN"/>
              </w:rPr>
              <w:t>投标方响应时间不超过</w:t>
            </w:r>
            <w:r>
              <w:rPr>
                <w:rFonts w:hint="eastAsia" w:ascii="仿宋_GB2312" w:hAnsi="仿宋_GB2312" w:eastAsia="仿宋_GB2312" w:cs="仿宋_GB2312"/>
                <w:kern w:val="0"/>
                <w:sz w:val="24"/>
                <w:szCs w:val="24"/>
                <w:lang w:val="en-US" w:eastAsia="zh-CN" w:bidi="zh-CN"/>
              </w:rPr>
              <w:t>90分钟</w:t>
            </w:r>
            <w:r>
              <w:rPr>
                <w:rFonts w:hint="eastAsia" w:ascii="仿宋_GB2312" w:hAnsi="仿宋_GB2312" w:eastAsia="仿宋_GB2312" w:cs="仿宋_GB2312"/>
                <w:kern w:val="0"/>
                <w:sz w:val="24"/>
                <w:szCs w:val="24"/>
                <w:lang w:val="zh-CN" w:eastAsia="zh-CN" w:bidi="zh-CN"/>
              </w:rPr>
              <w:t>【其中</w:t>
            </w:r>
            <w:r>
              <w:rPr>
                <w:rFonts w:hint="eastAsia" w:ascii="仿宋_GB2312" w:hAnsi="仿宋_GB2312" w:eastAsia="仿宋_GB2312" w:cs="仿宋_GB2312"/>
                <w:kern w:val="0"/>
                <w:sz w:val="24"/>
                <w:szCs w:val="24"/>
                <w:lang w:val="en-US" w:eastAsia="zh-CN" w:bidi="zh-CN"/>
              </w:rPr>
              <w:t>20分钟内告知接到指令，20分钟</w:t>
            </w:r>
            <w:r>
              <w:rPr>
                <w:rFonts w:hint="eastAsia" w:ascii="仿宋_GB2312" w:hAnsi="仿宋_GB2312" w:eastAsia="仿宋_GB2312" w:cs="仿宋_GB2312"/>
                <w:kern w:val="0"/>
                <w:sz w:val="24"/>
                <w:szCs w:val="24"/>
                <w:lang w:val="zh-CN" w:eastAsia="zh-CN" w:bidi="zh-CN"/>
              </w:rPr>
              <w:t>回复车辆、人员信息，</w:t>
            </w:r>
            <w:r>
              <w:rPr>
                <w:rFonts w:hint="eastAsia" w:ascii="仿宋_GB2312" w:hAnsi="仿宋_GB2312" w:eastAsia="仿宋_GB2312" w:cs="仿宋_GB2312"/>
                <w:kern w:val="0"/>
                <w:sz w:val="24"/>
                <w:szCs w:val="24"/>
                <w:lang w:val="en-US" w:eastAsia="zh-CN" w:bidi="zh-CN"/>
              </w:rPr>
              <w:t>信息通报后车辆50分钟</w:t>
            </w:r>
            <w:r>
              <w:rPr>
                <w:rFonts w:hint="eastAsia" w:ascii="仿宋_GB2312" w:hAnsi="仿宋_GB2312" w:eastAsia="仿宋_GB2312" w:cs="仿宋_GB2312"/>
                <w:kern w:val="0"/>
                <w:sz w:val="24"/>
                <w:szCs w:val="24"/>
                <w:lang w:val="zh-CN" w:eastAsia="zh-CN" w:bidi="zh-CN"/>
              </w:rPr>
              <w:t>内到达提货地点】，即招标方发出运输通知后，至车辆到达指定地点的时间。如投标方自身原因导致送达时间超过运输时限的</w:t>
            </w:r>
            <w:r>
              <w:rPr>
                <w:rFonts w:hint="eastAsia" w:ascii="仿宋_GB2312" w:hAnsi="仿宋_GB2312" w:eastAsia="仿宋_GB2312" w:cs="仿宋_GB2312"/>
                <w:kern w:val="0"/>
                <w:sz w:val="24"/>
                <w:szCs w:val="24"/>
                <w:lang w:val="en-US" w:eastAsia="zh-CN" w:bidi="zh-CN"/>
              </w:rPr>
              <w:t>2</w:t>
            </w:r>
            <w:r>
              <w:rPr>
                <w:rFonts w:hint="eastAsia" w:ascii="仿宋_GB2312" w:hAnsi="仿宋_GB2312" w:eastAsia="仿宋_GB2312" w:cs="仿宋_GB2312"/>
                <w:kern w:val="0"/>
                <w:sz w:val="24"/>
                <w:szCs w:val="24"/>
                <w:lang w:val="zh-CN" w:eastAsia="zh-CN" w:bidi="zh-CN"/>
              </w:rPr>
              <w:t>0%以上，招标方有权扣除该票运费的</w:t>
            </w:r>
            <w:r>
              <w:rPr>
                <w:rFonts w:hint="eastAsia" w:ascii="仿宋_GB2312" w:hAnsi="仿宋_GB2312" w:eastAsia="仿宋_GB2312" w:cs="仿宋_GB2312"/>
                <w:kern w:val="0"/>
                <w:sz w:val="24"/>
                <w:szCs w:val="24"/>
                <w:lang w:val="en-US" w:eastAsia="zh-CN" w:bidi="zh-CN"/>
              </w:rPr>
              <w:t>5</w:t>
            </w:r>
            <w:r>
              <w:rPr>
                <w:rFonts w:hint="eastAsia" w:ascii="仿宋_GB2312" w:hAnsi="仿宋_GB2312" w:eastAsia="仿宋_GB2312" w:cs="仿宋_GB2312"/>
                <w:kern w:val="0"/>
                <w:sz w:val="24"/>
                <w:szCs w:val="24"/>
                <w:lang w:val="zh-CN" w:eastAsia="zh-CN" w:bidi="zh-CN"/>
              </w:rPr>
              <w:t>0%；送达时间超过运输时限的50%以上或对招</w:t>
            </w:r>
            <w:r>
              <w:rPr>
                <w:rFonts w:hint="eastAsia" w:ascii="仿宋_GB2312" w:hAnsi="仿宋_GB2312" w:eastAsia="仿宋_GB2312" w:cs="仿宋_GB2312"/>
                <w:i w:val="0"/>
                <w:iCs w:val="0"/>
                <w:kern w:val="0"/>
                <w:sz w:val="24"/>
                <w:szCs w:val="24"/>
                <w:lang w:val="zh-CN" w:eastAsia="zh-CN" w:bidi="zh-CN"/>
              </w:rPr>
              <w:t>标方生产保障造成严重影响的，免除该票的全部运费</w:t>
            </w:r>
            <w:r>
              <w:rPr>
                <w:rFonts w:hint="eastAsia" w:ascii="仿宋_GB2312" w:hAnsi="仿宋_GB2312" w:eastAsia="仿宋_GB2312" w:cs="仿宋_GB2312"/>
                <w:kern w:val="0"/>
                <w:sz w:val="24"/>
                <w:szCs w:val="24"/>
                <w:lang w:val="zh-CN" w:eastAsia="zh-CN" w:bidi="zh-CN"/>
              </w:rPr>
              <w:t>。</w:t>
            </w:r>
          </w:p>
          <w:p w14:paraId="7652EB73">
            <w:pPr>
              <w:pStyle w:val="18"/>
              <w:keepNext w:val="0"/>
              <w:keepLines w:val="0"/>
              <w:pageBreakBefore w:val="0"/>
              <w:widowControl w:val="0"/>
              <w:kinsoku/>
              <w:wordWrap/>
              <w:overflowPunct/>
              <w:topLinePunct w:val="0"/>
              <w:bidi w:val="0"/>
              <w:adjustRightInd/>
              <w:snapToGrid/>
              <w:spacing w:before="0" w:beforeAutospacing="0" w:after="0" w:afterAutospacing="0" w:line="360" w:lineRule="exact"/>
              <w:jc w:val="both"/>
              <w:textAlignment w:val="auto"/>
              <w:rPr>
                <w:rFonts w:hint="eastAsia" w:ascii="仿宋_GB2312" w:hAnsi="仿宋_GB2312" w:eastAsia="仿宋_GB2312" w:cs="仿宋_GB2312"/>
                <w:kern w:val="0"/>
                <w:sz w:val="24"/>
                <w:szCs w:val="24"/>
                <w:lang w:val="zh-CN" w:eastAsia="zh-CN" w:bidi="zh-CN"/>
              </w:rPr>
            </w:pPr>
            <w:r>
              <w:rPr>
                <w:rFonts w:hint="eastAsia" w:ascii="仿宋_GB2312" w:hAnsi="仿宋_GB2312" w:eastAsia="仿宋_GB2312" w:cs="仿宋_GB2312"/>
                <w:kern w:val="0"/>
                <w:sz w:val="24"/>
                <w:szCs w:val="24"/>
                <w:lang w:val="zh-CN" w:eastAsia="zh-CN" w:bidi="zh-CN"/>
              </w:rPr>
              <w:t>1</w:t>
            </w:r>
            <w:r>
              <w:rPr>
                <w:rFonts w:hint="eastAsia" w:ascii="仿宋_GB2312" w:hAnsi="仿宋_GB2312" w:eastAsia="仿宋_GB2312" w:cs="仿宋_GB2312"/>
                <w:kern w:val="0"/>
                <w:sz w:val="24"/>
                <w:szCs w:val="24"/>
                <w:lang w:val="en-US" w:eastAsia="zh-CN" w:bidi="zh-CN"/>
              </w:rPr>
              <w:t>7</w:t>
            </w:r>
            <w:r>
              <w:rPr>
                <w:rFonts w:hint="eastAsia" w:ascii="仿宋_GB2312" w:hAnsi="仿宋_GB2312" w:eastAsia="仿宋_GB2312" w:cs="仿宋_GB2312"/>
                <w:kern w:val="0"/>
                <w:sz w:val="24"/>
                <w:szCs w:val="24"/>
                <w:lang w:val="zh-CN" w:eastAsia="zh-CN" w:bidi="zh-CN"/>
              </w:rPr>
              <w:t>.零担运输安排时，提货时间应不超过24小时，对运输超时接近24小时的，投标方应做重点跟踪处理。</w:t>
            </w:r>
            <w:r>
              <w:rPr>
                <w:rFonts w:hint="eastAsia" w:ascii="仿宋_GB2312" w:hAnsi="仿宋_GB2312" w:eastAsia="仿宋_GB2312" w:cs="仿宋_GB2312"/>
                <w:kern w:val="0"/>
                <w:sz w:val="24"/>
                <w:szCs w:val="24"/>
                <w:lang w:val="en-US" w:eastAsia="zh-CN" w:bidi="zh-CN"/>
              </w:rPr>
              <w:t>如投标方自身原因导致超时30%到达装货地点，招标方有权扣除该票运费的10%；</w:t>
            </w:r>
            <w:r>
              <w:rPr>
                <w:rFonts w:hint="eastAsia" w:ascii="仿宋_GB2312" w:hAnsi="仿宋_GB2312" w:eastAsia="仿宋_GB2312" w:cs="仿宋_GB2312"/>
                <w:kern w:val="0"/>
                <w:sz w:val="24"/>
                <w:szCs w:val="24"/>
                <w:lang w:val="zh-CN" w:eastAsia="zh-CN" w:bidi="zh-CN"/>
              </w:rPr>
              <w:t>因投标方自身原因致使运输时间超过运输时限30%，招标方有权扣除该票运费的10%；对于运输时间超运输时限50%以上或者对招标方生产保障造成严重影响的，招标方有权免除该票全部运费。</w:t>
            </w:r>
          </w:p>
          <w:p w14:paraId="737B0D4B">
            <w:pPr>
              <w:keepNext w:val="0"/>
              <w:keepLines w:val="0"/>
              <w:pageBreakBefore w:val="0"/>
              <w:widowControl w:val="0"/>
              <w:kinsoku/>
              <w:wordWrap/>
              <w:overflowPunct/>
              <w:topLinePunct w:val="0"/>
              <w:bidi w:val="0"/>
              <w:adjustRightInd/>
              <w:snapToGrid/>
              <w:spacing w:line="360" w:lineRule="exact"/>
              <w:jc w:val="both"/>
              <w:textAlignment w:val="auto"/>
              <w:rPr>
                <w:rFonts w:hint="eastAsia" w:ascii="仿宋_GB2312" w:hAnsi="仿宋_GB2312" w:eastAsia="仿宋_GB2312" w:cs="仿宋_GB2312"/>
                <w:kern w:val="0"/>
                <w:sz w:val="24"/>
                <w:szCs w:val="24"/>
                <w:lang w:val="zh-CN" w:eastAsia="zh-CN" w:bidi="zh-CN"/>
              </w:rPr>
            </w:pPr>
            <w:bookmarkStart w:id="8" w:name="OLE_LINK3"/>
            <w:r>
              <w:rPr>
                <w:rFonts w:hint="eastAsia" w:ascii="仿宋_GB2312" w:hAnsi="仿宋_GB2312" w:eastAsia="仿宋_GB2312" w:cs="仿宋_GB2312"/>
                <w:kern w:val="0"/>
                <w:sz w:val="24"/>
                <w:szCs w:val="24"/>
                <w:lang w:val="zh-CN" w:eastAsia="zh-CN" w:bidi="zh-CN"/>
              </w:rPr>
              <w:t>1</w:t>
            </w:r>
            <w:r>
              <w:rPr>
                <w:rFonts w:hint="eastAsia" w:ascii="仿宋_GB2312" w:hAnsi="仿宋_GB2312" w:eastAsia="仿宋_GB2312" w:cs="仿宋_GB2312"/>
                <w:kern w:val="0"/>
                <w:sz w:val="24"/>
                <w:szCs w:val="24"/>
                <w:lang w:val="en-US" w:eastAsia="zh-CN" w:bidi="zh-CN"/>
              </w:rPr>
              <w:t>8</w:t>
            </w:r>
            <w:r>
              <w:rPr>
                <w:rFonts w:hint="eastAsia" w:ascii="仿宋_GB2312" w:hAnsi="仿宋_GB2312" w:eastAsia="仿宋_GB2312" w:cs="仿宋_GB2312"/>
                <w:kern w:val="0"/>
                <w:sz w:val="24"/>
                <w:szCs w:val="24"/>
                <w:lang w:val="zh-CN" w:eastAsia="zh-CN" w:bidi="zh-CN"/>
              </w:rPr>
              <w:t>.</w:t>
            </w:r>
            <w:bookmarkStart w:id="9" w:name="OLE_LINK5"/>
            <w:r>
              <w:rPr>
                <w:rFonts w:hint="eastAsia" w:ascii="仿宋_GB2312" w:hAnsi="仿宋_GB2312" w:eastAsia="仿宋_GB2312" w:cs="仿宋_GB2312"/>
                <w:kern w:val="0"/>
                <w:sz w:val="24"/>
                <w:szCs w:val="24"/>
                <w:lang w:val="en-US" w:eastAsia="zh-CN" w:bidi="zh-CN"/>
              </w:rPr>
              <w:t>零担及ROUTINE</w:t>
            </w:r>
            <w:r>
              <w:rPr>
                <w:rFonts w:hint="eastAsia" w:ascii="仿宋_GB2312" w:hAnsi="仿宋_GB2312" w:eastAsia="仿宋_GB2312" w:cs="仿宋_GB2312"/>
                <w:kern w:val="0"/>
                <w:sz w:val="24"/>
                <w:szCs w:val="24"/>
                <w:lang w:val="zh-CN" w:eastAsia="zh-CN" w:bidi="zh-CN"/>
              </w:rPr>
              <w:t>固定线路运输时限</w:t>
            </w:r>
            <w:bookmarkStart w:id="10" w:name="OLE_LINK6"/>
            <w:bookmarkStart w:id="11" w:name="OLE_LINK2"/>
            <w:r>
              <w:rPr>
                <w:rFonts w:hint="eastAsia" w:ascii="仿宋_GB2312" w:hAnsi="仿宋_GB2312" w:eastAsia="仿宋_GB2312" w:cs="仿宋_GB2312"/>
                <w:kern w:val="0"/>
                <w:sz w:val="24"/>
                <w:szCs w:val="24"/>
                <w:lang w:val="zh-CN" w:eastAsia="zh-CN" w:bidi="zh-CN"/>
              </w:rPr>
              <w:t>以运输价格表上的运输时限为准</w:t>
            </w:r>
            <w:bookmarkEnd w:id="10"/>
            <w:r>
              <w:rPr>
                <w:rFonts w:hint="eastAsia" w:ascii="仿宋_GB2312" w:hAnsi="仿宋_GB2312" w:eastAsia="仿宋_GB2312" w:cs="仿宋_GB2312"/>
                <w:kern w:val="0"/>
                <w:sz w:val="24"/>
                <w:szCs w:val="24"/>
                <w:lang w:val="en-US" w:eastAsia="zh-CN" w:bidi="zh-CN"/>
              </w:rPr>
              <w:t>,</w:t>
            </w:r>
            <w:r>
              <w:rPr>
                <w:rFonts w:hint="eastAsia" w:ascii="仿宋_GB2312" w:hAnsi="仿宋_GB2312" w:eastAsia="仿宋_GB2312" w:cs="仿宋_GB2312"/>
                <w:kern w:val="0"/>
                <w:sz w:val="24"/>
                <w:szCs w:val="24"/>
                <w:lang w:val="zh-CN" w:eastAsia="zh-CN" w:bidi="zh-CN"/>
              </w:rPr>
              <w:t>非固定线路零担运输时限：</w:t>
            </w:r>
            <w:bookmarkStart w:id="12" w:name="OLE_LINK9"/>
            <w:r>
              <w:rPr>
                <w:rFonts w:hint="eastAsia" w:ascii="仿宋_GB2312" w:hAnsi="仿宋_GB2312" w:eastAsia="仿宋_GB2312" w:cs="仿宋_GB2312"/>
                <w:kern w:val="0"/>
                <w:sz w:val="24"/>
                <w:szCs w:val="24"/>
                <w:lang w:val="zh-CN" w:eastAsia="zh-CN" w:bidi="zh-CN"/>
              </w:rPr>
              <w:t>同省内不超过3天，跨邻省不超过</w:t>
            </w:r>
            <w:r>
              <w:rPr>
                <w:rFonts w:hint="eastAsia" w:ascii="仿宋_GB2312" w:hAnsi="仿宋_GB2312" w:eastAsia="仿宋_GB2312" w:cs="仿宋_GB2312"/>
                <w:kern w:val="0"/>
                <w:sz w:val="24"/>
                <w:szCs w:val="24"/>
                <w:lang w:val="en-US" w:eastAsia="zh-CN" w:bidi="zh-CN"/>
              </w:rPr>
              <w:t>6</w:t>
            </w:r>
            <w:r>
              <w:rPr>
                <w:rFonts w:hint="eastAsia" w:ascii="仿宋_GB2312" w:hAnsi="仿宋_GB2312" w:eastAsia="仿宋_GB2312" w:cs="仿宋_GB2312"/>
                <w:kern w:val="0"/>
                <w:sz w:val="24"/>
                <w:szCs w:val="24"/>
                <w:lang w:val="zh-CN" w:eastAsia="zh-CN" w:bidi="zh-CN"/>
              </w:rPr>
              <w:t>天，跨远省（非邻省）不超过</w:t>
            </w:r>
            <w:r>
              <w:rPr>
                <w:rFonts w:hint="eastAsia" w:ascii="仿宋_GB2312" w:hAnsi="仿宋_GB2312" w:eastAsia="仿宋_GB2312" w:cs="仿宋_GB2312"/>
                <w:kern w:val="0"/>
                <w:sz w:val="24"/>
                <w:szCs w:val="24"/>
                <w:lang w:val="en-US" w:eastAsia="zh-CN" w:bidi="zh-CN"/>
              </w:rPr>
              <w:t>9</w:t>
            </w:r>
            <w:r>
              <w:rPr>
                <w:rFonts w:hint="eastAsia" w:ascii="仿宋_GB2312" w:hAnsi="仿宋_GB2312" w:eastAsia="仿宋_GB2312" w:cs="仿宋_GB2312"/>
                <w:kern w:val="0"/>
                <w:sz w:val="24"/>
                <w:szCs w:val="24"/>
                <w:lang w:val="zh-CN" w:eastAsia="zh-CN" w:bidi="zh-CN"/>
              </w:rPr>
              <w:t>天</w:t>
            </w:r>
            <w:bookmarkEnd w:id="12"/>
            <w:r>
              <w:rPr>
                <w:rFonts w:hint="eastAsia" w:ascii="仿宋_GB2312" w:hAnsi="仿宋_GB2312" w:eastAsia="仿宋_GB2312" w:cs="仿宋_GB2312"/>
                <w:kern w:val="0"/>
                <w:sz w:val="24"/>
                <w:szCs w:val="24"/>
                <w:lang w:val="zh-CN" w:eastAsia="zh-CN" w:bidi="zh-CN"/>
              </w:rPr>
              <w:t>。非固定线路专车运输普货时限运输按1200KM/天计算路程的时间为准，危险品或含危险品运输时限按1000KM/天计算。如受客观因素影响（如台风、暴雨、堵车等因素），须及时拍照通报，</w:t>
            </w:r>
            <w:r>
              <w:rPr>
                <w:rFonts w:hint="eastAsia" w:ascii="仿宋_GB2312" w:hAnsi="仿宋_GB2312" w:eastAsia="仿宋_GB2312" w:cs="仿宋_GB2312"/>
                <w:kern w:val="0"/>
                <w:sz w:val="24"/>
                <w:szCs w:val="24"/>
                <w:lang w:val="en-US" w:eastAsia="zh-CN" w:bidi="zh-CN"/>
              </w:rPr>
              <w:t>经招标方同意后</w:t>
            </w:r>
            <w:r>
              <w:rPr>
                <w:rFonts w:hint="eastAsia" w:ascii="仿宋_GB2312" w:hAnsi="仿宋_GB2312" w:eastAsia="仿宋_GB2312" w:cs="仿宋_GB2312"/>
                <w:kern w:val="0"/>
                <w:sz w:val="24"/>
                <w:szCs w:val="24"/>
                <w:lang w:val="zh-CN" w:eastAsia="zh-CN" w:bidi="zh-CN"/>
              </w:rPr>
              <w:t>运输时限可根据实际情况顺延。</w:t>
            </w:r>
            <w:bookmarkEnd w:id="7"/>
            <w:bookmarkEnd w:id="8"/>
            <w:bookmarkEnd w:id="9"/>
            <w:bookmarkEnd w:id="11"/>
          </w:p>
          <w:p w14:paraId="51F1F2C1">
            <w:pPr>
              <w:keepNext w:val="0"/>
              <w:keepLines w:val="0"/>
              <w:pageBreakBefore w:val="0"/>
              <w:widowControl w:val="0"/>
              <w:kinsoku/>
              <w:wordWrap/>
              <w:overflowPunct/>
              <w:topLinePunct w:val="0"/>
              <w:bidi w:val="0"/>
              <w:adjustRightInd/>
              <w:snapToGrid/>
              <w:spacing w:line="360" w:lineRule="exact"/>
              <w:jc w:val="both"/>
              <w:textAlignment w:val="auto"/>
              <w:rPr>
                <w:rFonts w:hint="eastAsia" w:ascii="仿宋_GB2312" w:hAnsi="仿宋_GB2312" w:eastAsia="仿宋_GB2312" w:cs="仿宋_GB2312"/>
                <w:kern w:val="0"/>
                <w:sz w:val="24"/>
                <w:szCs w:val="24"/>
                <w:lang w:val="zh-CN" w:eastAsia="zh-CN" w:bidi="zh-CN"/>
              </w:rPr>
            </w:pPr>
            <w:r>
              <w:rPr>
                <w:rFonts w:hint="eastAsia" w:ascii="仿宋_GB2312" w:hAnsi="仿宋_GB2312" w:eastAsia="仿宋_GB2312" w:cs="仿宋_GB2312"/>
                <w:kern w:val="0"/>
                <w:sz w:val="24"/>
                <w:szCs w:val="24"/>
                <w:lang w:val="en-US" w:eastAsia="zh-CN" w:bidi="zh-CN"/>
              </w:rPr>
              <w:t>19. AOG</w:t>
            </w:r>
            <w:r>
              <w:rPr>
                <w:rFonts w:hint="eastAsia" w:ascii="仿宋_GB2312" w:hAnsi="仿宋_GB2312" w:eastAsia="仿宋_GB2312" w:cs="仿宋_GB2312"/>
                <w:kern w:val="0"/>
                <w:sz w:val="24"/>
                <w:szCs w:val="24"/>
                <w:lang w:val="zh-CN" w:eastAsia="zh-CN" w:bidi="zh-CN"/>
              </w:rPr>
              <w:t>运输需求原则上不得使用电动车，特殊情况下使用电动车需提前核实电动车电量情况，不得因使用电动车延长运输时间。</w:t>
            </w:r>
          </w:p>
          <w:p w14:paraId="5170479F">
            <w:pPr>
              <w:keepNext w:val="0"/>
              <w:keepLines w:val="0"/>
              <w:pageBreakBefore w:val="0"/>
              <w:widowControl w:val="0"/>
              <w:kinsoku/>
              <w:wordWrap/>
              <w:overflowPunct/>
              <w:topLinePunct w:val="0"/>
              <w:bidi w:val="0"/>
              <w:adjustRightInd/>
              <w:snapToGrid/>
              <w:spacing w:line="360" w:lineRule="exact"/>
              <w:jc w:val="both"/>
              <w:textAlignment w:val="auto"/>
              <w:rPr>
                <w:rFonts w:hint="eastAsia" w:ascii="仿宋_GB2312" w:hAnsi="仿宋_GB2312" w:eastAsia="仿宋_GB2312" w:cs="仿宋_GB2312"/>
                <w:kern w:val="0"/>
                <w:sz w:val="24"/>
                <w:szCs w:val="24"/>
                <w:lang w:val="zh-CN" w:eastAsia="zh-CN" w:bidi="zh-CN"/>
              </w:rPr>
            </w:pPr>
            <w:r>
              <w:rPr>
                <w:rFonts w:hint="eastAsia" w:ascii="仿宋_GB2312" w:hAnsi="仿宋_GB2312" w:eastAsia="仿宋_GB2312" w:cs="仿宋_GB2312"/>
                <w:kern w:val="0"/>
                <w:sz w:val="24"/>
                <w:szCs w:val="24"/>
                <w:lang w:val="en-US" w:eastAsia="zh-CN" w:bidi="zh-CN"/>
              </w:rPr>
              <w:t>20.投标方运输途中被官方机构抽检时，投标方有义务告知官方机构货物特殊性，包括但不限于货物拆开包装后将不可用的情况。</w:t>
            </w:r>
          </w:p>
        </w:tc>
        <w:tc>
          <w:tcPr>
            <w:tcW w:w="1526" w:type="pct"/>
            <w:vAlign w:val="center"/>
          </w:tcPr>
          <w:p w14:paraId="5EFEE913">
            <w:pPr>
              <w:spacing w:line="360" w:lineRule="exact"/>
              <w:jc w:val="center"/>
              <w:rPr>
                <w:rFonts w:ascii="仿宋_GB2312" w:hAnsi="仿宋_GB2312" w:eastAsia="仿宋_GB2312" w:cs="仿宋_GB2312"/>
                <w:sz w:val="24"/>
                <w:szCs w:val="24"/>
              </w:rPr>
            </w:pPr>
          </w:p>
        </w:tc>
        <w:tc>
          <w:tcPr>
            <w:tcW w:w="490" w:type="pct"/>
            <w:vAlign w:val="center"/>
          </w:tcPr>
          <w:p w14:paraId="41A7F157">
            <w:pPr>
              <w:spacing w:line="360" w:lineRule="exact"/>
              <w:jc w:val="center"/>
              <w:rPr>
                <w:rFonts w:ascii="仿宋_GB2312" w:hAnsi="仿宋_GB2312" w:eastAsia="仿宋_GB2312" w:cs="仿宋_GB2312"/>
                <w:sz w:val="24"/>
                <w:szCs w:val="24"/>
              </w:rPr>
            </w:pPr>
          </w:p>
        </w:tc>
      </w:tr>
      <w:tr w14:paraId="209E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vAlign w:val="center"/>
          </w:tcPr>
          <w:p w14:paraId="6523E820">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rPr>
              <w:t>1</w:t>
            </w:r>
            <w:r>
              <w:rPr>
                <w:rFonts w:hint="eastAsia" w:ascii="仿宋_GB2312" w:hAnsi="仿宋_GB2312" w:eastAsia="仿宋_GB2312" w:cs="仿宋_GB2312"/>
                <w:sz w:val="24"/>
                <w:szCs w:val="24"/>
                <w:lang w:val="en-US" w:eastAsia="zh-CN"/>
              </w:rPr>
              <w:t>1</w:t>
            </w:r>
          </w:p>
        </w:tc>
        <w:tc>
          <w:tcPr>
            <w:tcW w:w="599" w:type="pct"/>
            <w:vAlign w:val="center"/>
          </w:tcPr>
          <w:p w14:paraId="376409B5">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违约及赔偿责任</w:t>
            </w:r>
          </w:p>
        </w:tc>
        <w:tc>
          <w:tcPr>
            <w:tcW w:w="2118" w:type="pct"/>
          </w:tcPr>
          <w:p w14:paraId="7827F43A">
            <w:pPr>
              <w:spacing w:line="360" w:lineRule="exact"/>
              <w:jc w:val="both"/>
              <w:rPr>
                <w:rFonts w:hint="eastAsia" w:ascii="仿宋_GB2312" w:hAnsi="仿宋_GB2312" w:eastAsia="仿宋_GB2312" w:cs="仿宋_GB2312"/>
                <w:kern w:val="0"/>
                <w:sz w:val="24"/>
                <w:szCs w:val="24"/>
                <w:lang w:val="en-US" w:eastAsia="zh-CN" w:bidi="zh-CN"/>
              </w:rPr>
            </w:pPr>
            <w:r>
              <w:rPr>
                <w:rFonts w:hint="eastAsia" w:ascii="仿宋_GB2312" w:hAnsi="仿宋_GB2312" w:eastAsia="仿宋_GB2312" w:cs="仿宋_GB2312"/>
                <w:kern w:val="0"/>
                <w:sz w:val="24"/>
                <w:szCs w:val="24"/>
                <w:lang w:val="en-US" w:eastAsia="zh-CN" w:bidi="zh-CN"/>
              </w:rPr>
              <w:t>1.由于投标方或其委托的第三方故意、过失或疏忽造成招标方索赔的相关证明受损，导致招标方无法索赔，招标方有权按招标方的应得索赔金额向投标方索赔（即有完整证件时向保险公司索赔的金额），且投标方应当按照有完整证件时能够向保险公司索赔的金额偿付给招标方。</w:t>
            </w:r>
          </w:p>
          <w:p w14:paraId="5D1A5D94">
            <w:pPr>
              <w:spacing w:line="360" w:lineRule="exact"/>
              <w:jc w:val="both"/>
              <w:rPr>
                <w:rFonts w:hint="eastAsia" w:ascii="仿宋_GB2312" w:hAnsi="仿宋_GB2312" w:eastAsia="仿宋_GB2312" w:cs="仿宋_GB2312"/>
                <w:kern w:val="0"/>
                <w:sz w:val="24"/>
                <w:szCs w:val="24"/>
                <w:lang w:val="en-US" w:eastAsia="zh-CN" w:bidi="zh-CN"/>
              </w:rPr>
            </w:pPr>
            <w:r>
              <w:rPr>
                <w:rFonts w:hint="eastAsia" w:ascii="仿宋_GB2312" w:hAnsi="仿宋_GB2312" w:eastAsia="仿宋_GB2312" w:cs="仿宋_GB2312"/>
                <w:kern w:val="0"/>
                <w:sz w:val="24"/>
                <w:szCs w:val="24"/>
                <w:lang w:val="en-US" w:eastAsia="zh-CN" w:bidi="zh-CN"/>
              </w:rPr>
              <w:t>2.对其他第三方的原因所造成的招标方货物短缺或损坏，投标方有责任积极协助招标方调查取证并按保险公司的要求提供有关单证和向第三方的索赔工作。</w:t>
            </w:r>
          </w:p>
          <w:p w14:paraId="6EDCA6F2">
            <w:pPr>
              <w:spacing w:line="360" w:lineRule="exact"/>
              <w:jc w:val="both"/>
              <w:rPr>
                <w:rFonts w:hint="eastAsia" w:ascii="仿宋_GB2312" w:hAnsi="仿宋_GB2312" w:eastAsia="仿宋_GB2312" w:cs="仿宋_GB2312"/>
                <w:kern w:val="0"/>
                <w:sz w:val="24"/>
                <w:szCs w:val="24"/>
                <w:lang w:val="en-US" w:eastAsia="zh-CN" w:bidi="zh-CN"/>
              </w:rPr>
            </w:pPr>
            <w:r>
              <w:rPr>
                <w:rFonts w:hint="eastAsia" w:ascii="仿宋_GB2312" w:hAnsi="仿宋_GB2312" w:eastAsia="仿宋_GB2312" w:cs="仿宋_GB2312"/>
                <w:kern w:val="0"/>
                <w:sz w:val="24"/>
                <w:szCs w:val="24"/>
                <w:lang w:val="en-US" w:eastAsia="zh-CN" w:bidi="zh-CN"/>
              </w:rPr>
              <w:t>3.由于投标方或其委托的第三方原因造成招标方货物的损坏、丢失（包括运输过程中官方机构抽检造成的货物损失），投标方应在招标方通知后的十个工作日内按如下标准对招标方损失进行赔偿：</w:t>
            </w:r>
          </w:p>
          <w:p w14:paraId="27B1AEC9">
            <w:pPr>
              <w:spacing w:line="360" w:lineRule="exact"/>
              <w:jc w:val="both"/>
              <w:rPr>
                <w:rFonts w:hint="eastAsia" w:ascii="仿宋_GB2312" w:hAnsi="仿宋_GB2312" w:eastAsia="仿宋_GB2312" w:cs="仿宋_GB2312"/>
                <w:kern w:val="0"/>
                <w:sz w:val="24"/>
                <w:szCs w:val="24"/>
                <w:lang w:val="en-US" w:eastAsia="zh-CN" w:bidi="zh-CN"/>
              </w:rPr>
            </w:pPr>
            <w:r>
              <w:rPr>
                <w:rFonts w:hint="eastAsia" w:ascii="仿宋_GB2312" w:hAnsi="仿宋_GB2312" w:eastAsia="仿宋_GB2312" w:cs="仿宋_GB2312"/>
                <w:kern w:val="0"/>
                <w:sz w:val="24"/>
                <w:szCs w:val="24"/>
                <w:lang w:val="en-US" w:eastAsia="zh-CN" w:bidi="zh-CN"/>
              </w:rPr>
              <w:t>（1）如果货值在10000美金以下的，投标方应按招标方实际损失进行赔偿；</w:t>
            </w:r>
          </w:p>
          <w:p w14:paraId="58943681">
            <w:pPr>
              <w:spacing w:line="360" w:lineRule="exact"/>
              <w:jc w:val="both"/>
              <w:rPr>
                <w:rFonts w:hint="eastAsia" w:ascii="仿宋_GB2312" w:hAnsi="仿宋_GB2312" w:eastAsia="仿宋_GB2312" w:cs="仿宋_GB2312"/>
                <w:kern w:val="0"/>
                <w:sz w:val="24"/>
                <w:szCs w:val="24"/>
                <w:lang w:val="en-US" w:eastAsia="zh-CN" w:bidi="zh-CN"/>
              </w:rPr>
            </w:pPr>
            <w:r>
              <w:rPr>
                <w:rFonts w:hint="eastAsia" w:ascii="仿宋_GB2312" w:hAnsi="仿宋_GB2312" w:eastAsia="仿宋_GB2312" w:cs="仿宋_GB2312"/>
                <w:kern w:val="0"/>
                <w:sz w:val="24"/>
                <w:szCs w:val="24"/>
                <w:lang w:val="en-US" w:eastAsia="zh-CN" w:bidi="zh-CN"/>
              </w:rPr>
              <w:t>（2）如果货值在10000美金以上（包括10000美金）的，即使招标方有保险公司赔偿，招标方也有权向投标方索赔，投标方的赔偿限额为10000美金（无论招标方是否得到保险公司赔偿）。</w:t>
            </w:r>
          </w:p>
          <w:p w14:paraId="7DA7A33B">
            <w:pPr>
              <w:spacing w:line="360" w:lineRule="exact"/>
              <w:jc w:val="both"/>
              <w:rPr>
                <w:rFonts w:hint="eastAsia" w:ascii="仿宋_GB2312" w:hAnsi="仿宋_GB2312" w:eastAsia="仿宋_GB2312" w:cs="仿宋_GB2312"/>
                <w:kern w:val="0"/>
                <w:sz w:val="24"/>
                <w:szCs w:val="24"/>
                <w:lang w:val="en-US" w:eastAsia="zh-CN" w:bidi="zh-CN"/>
              </w:rPr>
            </w:pPr>
            <w:r>
              <w:rPr>
                <w:rFonts w:hint="eastAsia" w:ascii="仿宋_GB2312" w:hAnsi="仿宋_GB2312" w:eastAsia="仿宋_GB2312" w:cs="仿宋_GB2312"/>
                <w:kern w:val="0"/>
                <w:sz w:val="24"/>
                <w:szCs w:val="24"/>
                <w:lang w:val="en-US" w:eastAsia="zh-CN" w:bidi="zh-CN"/>
              </w:rPr>
              <w:t>4.在危险品运输时，招标方按危险品的性质进行分类，并在托运前向投标方提供危险品运输的相关资料（危险品类别为必要提供条件），若因为投标方或其委托的第三方的疏忽、过失或其他原因，造成货物运输异常，投标方应向招标方支付相当于当次运费金额30%的违约金，如违约金不足以弥补招标方损失的，投标方还应当就不足的部分向招标方另行赔偿。</w:t>
            </w:r>
          </w:p>
          <w:p w14:paraId="0966AF39">
            <w:pPr>
              <w:spacing w:line="360" w:lineRule="exact"/>
              <w:jc w:val="both"/>
              <w:rPr>
                <w:rFonts w:hint="eastAsia" w:ascii="仿宋_GB2312" w:hAnsi="仿宋_GB2312" w:eastAsia="仿宋_GB2312" w:cs="仿宋_GB2312"/>
                <w:kern w:val="0"/>
                <w:sz w:val="24"/>
                <w:szCs w:val="24"/>
                <w:lang w:val="en-US" w:eastAsia="zh-CN" w:bidi="zh-CN"/>
              </w:rPr>
            </w:pPr>
            <w:r>
              <w:rPr>
                <w:rFonts w:hint="eastAsia" w:ascii="仿宋_GB2312" w:hAnsi="仿宋_GB2312" w:eastAsia="仿宋_GB2312" w:cs="仿宋_GB2312"/>
                <w:kern w:val="0"/>
                <w:sz w:val="24"/>
                <w:szCs w:val="24"/>
                <w:lang w:val="en-US" w:eastAsia="zh-CN" w:bidi="zh-CN"/>
              </w:rPr>
              <w:t>5.除不可抗力或需求超出协议约定等招标方原因外，投标方拒绝承担协议约定运输的，投标方应向招标方支付相当于当次运费金额30%的违约金，如违约金不足以弥补招标方损失的，投标方还应当就不足的部分向招标方另行赔偿。</w:t>
            </w:r>
          </w:p>
          <w:p w14:paraId="7CBE3D6B">
            <w:pPr>
              <w:spacing w:line="360" w:lineRule="exact"/>
              <w:jc w:val="both"/>
              <w:rPr>
                <w:rFonts w:hint="eastAsia" w:ascii="仿宋_GB2312" w:hAnsi="仿宋_GB2312" w:eastAsia="仿宋_GB2312" w:cs="仿宋_GB2312"/>
                <w:kern w:val="0"/>
                <w:sz w:val="24"/>
                <w:szCs w:val="24"/>
                <w:lang w:val="en-US" w:eastAsia="zh-CN" w:bidi="zh-CN"/>
              </w:rPr>
            </w:pPr>
            <w:r>
              <w:rPr>
                <w:rFonts w:hint="eastAsia" w:ascii="仿宋_GB2312" w:hAnsi="仿宋_GB2312" w:eastAsia="仿宋_GB2312" w:cs="仿宋_GB2312"/>
                <w:kern w:val="0"/>
                <w:sz w:val="24"/>
                <w:szCs w:val="24"/>
                <w:lang w:val="en-US" w:eastAsia="zh-CN" w:bidi="zh-CN"/>
              </w:rPr>
              <w:t>6.如果因投标方自身原因未按协议标准履行的，招标方有权解除协议，投标方除应当按照协议约定支付每次违约金外，还应另行赔偿招标方全部损失。</w:t>
            </w:r>
          </w:p>
          <w:p w14:paraId="1AF1921D">
            <w:pPr>
              <w:spacing w:line="360" w:lineRule="exact"/>
              <w:jc w:val="both"/>
              <w:rPr>
                <w:rFonts w:hint="eastAsia" w:ascii="仿宋_GB2312" w:hAnsi="仿宋_GB2312" w:eastAsia="仿宋_GB2312" w:cs="仿宋_GB2312"/>
                <w:kern w:val="0"/>
                <w:sz w:val="24"/>
                <w:szCs w:val="24"/>
                <w:lang w:val="en-US" w:eastAsia="zh-CN" w:bidi="zh-CN"/>
              </w:rPr>
            </w:pPr>
            <w:r>
              <w:rPr>
                <w:rFonts w:hint="eastAsia" w:ascii="仿宋_GB2312" w:hAnsi="仿宋_GB2312" w:eastAsia="仿宋_GB2312" w:cs="仿宋_GB2312"/>
                <w:kern w:val="0"/>
                <w:sz w:val="24"/>
                <w:szCs w:val="24"/>
                <w:lang w:val="en-US" w:eastAsia="zh-CN" w:bidi="zh-CN"/>
              </w:rPr>
              <w:t>7.对于因不可抗力，包括地震、风暴、水灾、火灾、爆炸和其它自然灾害、瘟疫、战争、暴乱、公共秩序骚乱、公敌活动、罢工（非投标方人员）、政府行为或其它超出投标方控制范围的不可防止和避免的因素，而非投标方本身的失误或疏忽所造成的操作延误、货物损坏及其他经济损失，投标方不承担责任。此类保险由招标方负责。为避免歧义，新冠疫情不包含在以上不可抗力的情形之内，政府特殊防控的除外。</w:t>
            </w:r>
          </w:p>
          <w:p w14:paraId="03FA6238">
            <w:pPr>
              <w:spacing w:line="360" w:lineRule="exact"/>
              <w:jc w:val="both"/>
              <w:rPr>
                <w:rFonts w:hint="eastAsia" w:ascii="仿宋_GB2312" w:hAnsi="仿宋_GB2312" w:eastAsia="仿宋_GB2312" w:cs="仿宋_GB2312"/>
                <w:kern w:val="0"/>
                <w:sz w:val="24"/>
                <w:szCs w:val="24"/>
                <w:lang w:val="en-US" w:eastAsia="zh-CN" w:bidi="zh-CN"/>
              </w:rPr>
            </w:pPr>
            <w:r>
              <w:rPr>
                <w:rFonts w:hint="eastAsia" w:ascii="仿宋_GB2312" w:hAnsi="仿宋_GB2312" w:eastAsia="仿宋_GB2312" w:cs="仿宋_GB2312"/>
                <w:kern w:val="0"/>
                <w:sz w:val="24"/>
                <w:szCs w:val="24"/>
                <w:lang w:val="en-US" w:eastAsia="zh-CN" w:bidi="zh-CN"/>
              </w:rPr>
              <w:t>8.若由于投标方或投标方委托的第三方运输招标方货物时，夹带违禁品，投标方应向招标方支付相当于当次运费金额30%的违约金。如违约金不足以弥补招标方损失的，投标方还应当就不足的部分向招标方另行赔偿。</w:t>
            </w:r>
          </w:p>
          <w:p w14:paraId="7870652A">
            <w:pPr>
              <w:spacing w:line="360" w:lineRule="exact"/>
              <w:jc w:val="both"/>
              <w:rPr>
                <w:rFonts w:hint="eastAsia" w:ascii="仿宋_GB2312" w:hAnsi="仿宋_GB2312" w:eastAsia="仿宋_GB2312" w:cs="仿宋_GB2312"/>
                <w:kern w:val="0"/>
                <w:sz w:val="24"/>
                <w:szCs w:val="24"/>
                <w:lang w:val="en-US" w:eastAsia="zh-CN" w:bidi="zh-CN"/>
              </w:rPr>
            </w:pPr>
            <w:r>
              <w:rPr>
                <w:rFonts w:hint="eastAsia" w:ascii="仿宋_GB2312" w:hAnsi="仿宋_GB2312" w:eastAsia="仿宋_GB2312" w:cs="仿宋_GB2312"/>
                <w:kern w:val="0"/>
                <w:sz w:val="24"/>
                <w:szCs w:val="24"/>
                <w:lang w:val="en-US" w:eastAsia="zh-CN" w:bidi="zh-CN"/>
              </w:rPr>
              <w:t>9.甲乙双方都应当对本合同的内容及合同履行过程中所知悉的对方的保密信息（无论是否标明为保密信息、无论采取何种形式披露）予以保密。除非根据国家法律的规定、司法机关的要求或取得对方的事前书面同意，任何一方都不得将本合同内容及所知悉的对方上述保密信息向第三方披露、用于非本合同的目的或允许任何第三方使用。本合同约定的保密义务在本合同履行终止、无效或解除的情况下，双方亦应当遵守，期限为5年。</w:t>
            </w:r>
          </w:p>
          <w:p w14:paraId="72F47BCE">
            <w:pPr>
              <w:spacing w:line="360" w:lineRule="exact"/>
              <w:jc w:val="both"/>
              <w:rPr>
                <w:rFonts w:hint="eastAsia" w:ascii="仿宋_GB2312" w:hAnsi="仿宋_GB2312" w:eastAsia="仿宋_GB2312" w:cs="仿宋_GB2312"/>
                <w:kern w:val="0"/>
                <w:sz w:val="24"/>
                <w:szCs w:val="24"/>
                <w:lang w:val="zh-CN" w:eastAsia="zh-CN" w:bidi="zh-CN"/>
              </w:rPr>
            </w:pPr>
            <w:r>
              <w:rPr>
                <w:rFonts w:hint="eastAsia" w:ascii="仿宋_GB2312" w:hAnsi="仿宋_GB2312" w:eastAsia="仿宋_GB2312" w:cs="仿宋_GB2312"/>
                <w:kern w:val="0"/>
                <w:sz w:val="24"/>
                <w:szCs w:val="24"/>
                <w:lang w:val="en-US" w:eastAsia="zh-CN" w:bidi="zh-CN"/>
              </w:rPr>
              <w:t>10.投标方未经招标方书面同意，不得全部或部分转让本合同约定的权利义务，否则应当按照转让部分合同金额的100%向招标方支付违约金，违约金不足以弥补损失的，还应当赔偿因此给招标方造成的全部经济损失 （包括但不限于直接损失、间接损失、诉讼费、律师费、保全费、差旅费等）。</w:t>
            </w:r>
          </w:p>
        </w:tc>
        <w:tc>
          <w:tcPr>
            <w:tcW w:w="1526" w:type="pct"/>
            <w:vAlign w:val="center"/>
          </w:tcPr>
          <w:p w14:paraId="11EDB5DA">
            <w:pPr>
              <w:spacing w:line="360" w:lineRule="exact"/>
              <w:jc w:val="center"/>
              <w:rPr>
                <w:rFonts w:ascii="仿宋_GB2312" w:hAnsi="仿宋_GB2312" w:eastAsia="仿宋_GB2312" w:cs="仿宋_GB2312"/>
                <w:sz w:val="24"/>
                <w:szCs w:val="24"/>
              </w:rPr>
            </w:pPr>
          </w:p>
        </w:tc>
        <w:tc>
          <w:tcPr>
            <w:tcW w:w="490" w:type="pct"/>
            <w:vAlign w:val="center"/>
          </w:tcPr>
          <w:p w14:paraId="686A0C2E">
            <w:pPr>
              <w:spacing w:line="360" w:lineRule="exact"/>
              <w:jc w:val="center"/>
              <w:rPr>
                <w:rFonts w:ascii="仿宋_GB2312" w:hAnsi="仿宋_GB2312" w:eastAsia="仿宋_GB2312" w:cs="仿宋_GB2312"/>
                <w:sz w:val="24"/>
                <w:szCs w:val="24"/>
              </w:rPr>
            </w:pPr>
          </w:p>
        </w:tc>
      </w:tr>
      <w:tr w14:paraId="1628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vAlign w:val="center"/>
          </w:tcPr>
          <w:p w14:paraId="5982C2D1">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rPr>
              <w:t>1</w:t>
            </w:r>
            <w:r>
              <w:rPr>
                <w:rFonts w:hint="eastAsia" w:ascii="仿宋_GB2312" w:hAnsi="仿宋_GB2312" w:eastAsia="仿宋_GB2312" w:cs="仿宋_GB2312"/>
                <w:sz w:val="24"/>
                <w:szCs w:val="24"/>
                <w:lang w:val="en-US" w:eastAsia="zh-CN"/>
              </w:rPr>
              <w:t>2</w:t>
            </w:r>
          </w:p>
        </w:tc>
        <w:tc>
          <w:tcPr>
            <w:tcW w:w="599" w:type="pct"/>
            <w:vAlign w:val="center"/>
          </w:tcPr>
          <w:p w14:paraId="032DF2EC">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保密约定</w:t>
            </w:r>
          </w:p>
        </w:tc>
        <w:tc>
          <w:tcPr>
            <w:tcW w:w="2118" w:type="pct"/>
          </w:tcPr>
          <w:p w14:paraId="2E7A6F23">
            <w:pPr>
              <w:spacing w:line="36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本次招标专有信息属机密文件，未经海南航空控股股份有限公司书面同意不可整体或部分复制，或用于任何其它目的，或向其他人泄露。</w:t>
            </w:r>
          </w:p>
        </w:tc>
        <w:tc>
          <w:tcPr>
            <w:tcW w:w="1526" w:type="pct"/>
            <w:vAlign w:val="center"/>
          </w:tcPr>
          <w:p w14:paraId="2C05D827">
            <w:pPr>
              <w:spacing w:line="360" w:lineRule="exact"/>
              <w:jc w:val="center"/>
              <w:rPr>
                <w:rFonts w:ascii="仿宋_GB2312" w:hAnsi="仿宋_GB2312" w:eastAsia="仿宋_GB2312" w:cs="仿宋_GB2312"/>
                <w:sz w:val="24"/>
                <w:szCs w:val="24"/>
              </w:rPr>
            </w:pPr>
          </w:p>
        </w:tc>
        <w:tc>
          <w:tcPr>
            <w:tcW w:w="490" w:type="pct"/>
            <w:vAlign w:val="center"/>
          </w:tcPr>
          <w:p w14:paraId="0DF91A1D">
            <w:pPr>
              <w:spacing w:line="360" w:lineRule="exact"/>
              <w:jc w:val="center"/>
              <w:rPr>
                <w:rFonts w:ascii="仿宋_GB2312" w:hAnsi="仿宋_GB2312" w:eastAsia="仿宋_GB2312" w:cs="仿宋_GB2312"/>
                <w:sz w:val="24"/>
                <w:szCs w:val="24"/>
              </w:rPr>
            </w:pPr>
          </w:p>
        </w:tc>
      </w:tr>
      <w:tr w14:paraId="3136B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vAlign w:val="center"/>
          </w:tcPr>
          <w:p w14:paraId="00F35F13">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rPr>
              <w:t>1</w:t>
            </w:r>
            <w:r>
              <w:rPr>
                <w:rFonts w:hint="eastAsia" w:ascii="仿宋_GB2312" w:hAnsi="仿宋_GB2312" w:eastAsia="仿宋_GB2312" w:cs="仿宋_GB2312"/>
                <w:sz w:val="24"/>
                <w:szCs w:val="24"/>
                <w:lang w:val="en-US" w:eastAsia="zh-CN"/>
              </w:rPr>
              <w:t>3</w:t>
            </w:r>
          </w:p>
        </w:tc>
        <w:tc>
          <w:tcPr>
            <w:tcW w:w="599" w:type="pct"/>
            <w:vAlign w:val="center"/>
          </w:tcPr>
          <w:p w14:paraId="5607ABE8">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不可抗力</w:t>
            </w:r>
          </w:p>
        </w:tc>
        <w:tc>
          <w:tcPr>
            <w:tcW w:w="2118" w:type="pct"/>
          </w:tcPr>
          <w:p w14:paraId="0035FD4A">
            <w:pPr>
              <w:tabs>
                <w:tab w:val="left" w:pos="810"/>
              </w:tabs>
              <w:suppressAutoHyphens/>
              <w:autoSpaceDE/>
              <w:autoSpaceDN/>
              <w:spacing w:line="360" w:lineRule="exact"/>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不可抗力”是指本协议签订后发生的，协议各方不能预见、不能避免且不能克服，妨碍受影响一方依照协议约定履行全部或部分义务的客观事件，如战争、暴乱、瘟疫、严重火灾、洪水、地震、台风或其他自然灾害或社会性突发事件。为避免歧义，常态化的疫情（如新冠疫情）不包含在以上不可抗力的情形之内，政府特殊防控除外。</w:t>
            </w:r>
          </w:p>
          <w:p w14:paraId="58140583">
            <w:pPr>
              <w:tabs>
                <w:tab w:val="left" w:pos="810"/>
              </w:tabs>
              <w:suppressAutoHyphens/>
              <w:autoSpaceDE/>
              <w:autoSpaceDN/>
              <w:spacing w:line="360" w:lineRule="exact"/>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任何一方因不可抗力不能履行本协议约定的全部或部分义务，该方应尽快通知另一方，并须在不可抗力发生后三日内以书面形式向另一方提供不可抗力事件及不可抗力对协议履行造成影响的详细情况说明及必要的证据。受影响一方有责任尽可能及时采取必要措施减轻或消除不可抗力的影响，否则应对扩大的损失承担责任。</w:t>
            </w:r>
          </w:p>
          <w:p w14:paraId="06AD9845">
            <w:pPr>
              <w:tabs>
                <w:tab w:val="left" w:pos="810"/>
              </w:tabs>
              <w:suppressAutoHyphens/>
              <w:autoSpaceDE/>
              <w:autoSpaceDN/>
              <w:spacing w:line="360" w:lineRule="exact"/>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3.不可抗力发生后，协议各方应立即通过友好协商方式确定如何继续执行本协议。不可抗力消除后，各方应立即恢复履行各自在本协议项下的义务。如不可抗力无法消除或因不可抗力影响导致受影响一方丧失继续全部或部分履行协议义务的能力，则各方可协商解除或变更协议。</w:t>
            </w:r>
          </w:p>
          <w:p w14:paraId="5BAC77AA">
            <w:pPr>
              <w:spacing w:line="36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rPr>
              <w:t>4.发生不可抗力事件，受影响一方对因不可抗力无法履行或迟延履行本协议义务而使另一方遭受的损失不承担违约和赔偿责任，但受影响一方延迟履行后发生不可抗力的，不能免除责任。</w:t>
            </w:r>
          </w:p>
        </w:tc>
        <w:tc>
          <w:tcPr>
            <w:tcW w:w="1526" w:type="pct"/>
            <w:vAlign w:val="center"/>
          </w:tcPr>
          <w:p w14:paraId="6168E433">
            <w:pPr>
              <w:spacing w:line="360" w:lineRule="exact"/>
              <w:jc w:val="center"/>
              <w:rPr>
                <w:rFonts w:ascii="仿宋_GB2312" w:hAnsi="仿宋_GB2312" w:eastAsia="仿宋_GB2312" w:cs="仿宋_GB2312"/>
                <w:sz w:val="24"/>
                <w:szCs w:val="24"/>
              </w:rPr>
            </w:pPr>
          </w:p>
        </w:tc>
        <w:tc>
          <w:tcPr>
            <w:tcW w:w="490" w:type="pct"/>
            <w:vAlign w:val="center"/>
          </w:tcPr>
          <w:p w14:paraId="25954A38">
            <w:pPr>
              <w:spacing w:line="360" w:lineRule="exact"/>
              <w:jc w:val="center"/>
              <w:rPr>
                <w:rFonts w:ascii="仿宋_GB2312" w:hAnsi="仿宋_GB2312" w:eastAsia="仿宋_GB2312" w:cs="仿宋_GB2312"/>
                <w:sz w:val="24"/>
                <w:szCs w:val="24"/>
              </w:rPr>
            </w:pPr>
          </w:p>
        </w:tc>
      </w:tr>
      <w:tr w14:paraId="47CB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vAlign w:val="center"/>
          </w:tcPr>
          <w:p w14:paraId="6A549600">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rPr>
              <w:t>1</w:t>
            </w:r>
            <w:r>
              <w:rPr>
                <w:rFonts w:hint="eastAsia" w:ascii="仿宋_GB2312" w:hAnsi="仿宋_GB2312" w:eastAsia="仿宋_GB2312" w:cs="仿宋_GB2312"/>
                <w:sz w:val="24"/>
                <w:szCs w:val="24"/>
                <w:lang w:val="en-US" w:eastAsia="zh-CN"/>
              </w:rPr>
              <w:t>4</w:t>
            </w:r>
          </w:p>
        </w:tc>
        <w:tc>
          <w:tcPr>
            <w:tcW w:w="599" w:type="pct"/>
            <w:vAlign w:val="center"/>
          </w:tcPr>
          <w:p w14:paraId="4B8C0A6C">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合同签署</w:t>
            </w:r>
          </w:p>
        </w:tc>
        <w:tc>
          <w:tcPr>
            <w:tcW w:w="2118" w:type="pct"/>
          </w:tcPr>
          <w:p w14:paraId="5383BDF8">
            <w:pPr>
              <w:spacing w:line="36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rPr>
              <w:t>1.</w:t>
            </w:r>
            <w:r>
              <w:rPr>
                <w:rFonts w:hint="eastAsia" w:ascii="仿宋_GB2312" w:hAnsi="仿宋_GB2312" w:eastAsia="仿宋_GB2312" w:cs="仿宋_GB2312"/>
                <w:sz w:val="24"/>
                <w:szCs w:val="24"/>
              </w:rPr>
              <w:t>合同文本由招标方出具（具体合同条款以标书应答及谈判结果定稿为准）</w:t>
            </w:r>
            <w:r>
              <w:rPr>
                <w:rFonts w:hint="eastAsia" w:ascii="仿宋_GB2312" w:hAnsi="仿宋_GB2312" w:eastAsia="仿宋_GB2312" w:cs="仿宋_GB2312"/>
                <w:sz w:val="24"/>
                <w:szCs w:val="24"/>
                <w:lang w:eastAsia="zh-CN"/>
              </w:rPr>
              <w:t>。</w:t>
            </w:r>
          </w:p>
          <w:p w14:paraId="19BF0264">
            <w:pPr>
              <w:spacing w:line="36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2.本项目由海南航空控股股份有限公司牵头开展联合招采，招采结果适用于海航航空集团有限公司下属各成员公司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中标单位无正当理由不得拒绝与各成员公司签署协议</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各</w:t>
            </w:r>
            <w:r>
              <w:rPr>
                <w:rFonts w:hint="eastAsia" w:ascii="仿宋_GB2312" w:hAnsi="仿宋_GB2312" w:eastAsia="仿宋_GB2312" w:cs="仿宋_GB2312"/>
                <w:sz w:val="24"/>
                <w:szCs w:val="24"/>
                <w:lang w:val="en-US" w:eastAsia="zh-CN"/>
              </w:rPr>
              <w:t>成员</w:t>
            </w:r>
            <w:r>
              <w:rPr>
                <w:rFonts w:hint="eastAsia" w:ascii="仿宋_GB2312" w:hAnsi="仿宋_GB2312" w:eastAsia="仿宋_GB2312" w:cs="仿宋_GB2312"/>
                <w:sz w:val="24"/>
                <w:szCs w:val="24"/>
              </w:rPr>
              <w:t>公司与中标方签署框架协议并履约相关责任和义务，海南航空控股股份有限公司不承担连带责任。</w:t>
            </w:r>
          </w:p>
        </w:tc>
        <w:tc>
          <w:tcPr>
            <w:tcW w:w="1526" w:type="pct"/>
            <w:vAlign w:val="center"/>
          </w:tcPr>
          <w:p w14:paraId="4F81EE3E">
            <w:pPr>
              <w:spacing w:line="360" w:lineRule="exact"/>
              <w:jc w:val="center"/>
              <w:rPr>
                <w:rFonts w:ascii="仿宋_GB2312" w:hAnsi="仿宋_GB2312" w:eastAsia="仿宋_GB2312" w:cs="仿宋_GB2312"/>
                <w:sz w:val="24"/>
                <w:szCs w:val="24"/>
              </w:rPr>
            </w:pPr>
          </w:p>
        </w:tc>
        <w:tc>
          <w:tcPr>
            <w:tcW w:w="490" w:type="pct"/>
            <w:vAlign w:val="center"/>
          </w:tcPr>
          <w:p w14:paraId="57F31E62">
            <w:pPr>
              <w:spacing w:line="360" w:lineRule="exact"/>
              <w:jc w:val="center"/>
              <w:rPr>
                <w:rFonts w:ascii="仿宋_GB2312" w:hAnsi="仿宋_GB2312" w:eastAsia="仿宋_GB2312" w:cs="仿宋_GB2312"/>
                <w:sz w:val="24"/>
                <w:szCs w:val="24"/>
              </w:rPr>
            </w:pPr>
          </w:p>
        </w:tc>
      </w:tr>
      <w:tr w14:paraId="5833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vAlign w:val="center"/>
          </w:tcPr>
          <w:p w14:paraId="04EED1F9">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rPr>
              <w:t>1</w:t>
            </w:r>
            <w:r>
              <w:rPr>
                <w:rFonts w:hint="eastAsia" w:ascii="仿宋_GB2312" w:hAnsi="仿宋_GB2312" w:eastAsia="仿宋_GB2312" w:cs="仿宋_GB2312"/>
                <w:sz w:val="24"/>
                <w:szCs w:val="24"/>
                <w:lang w:val="en-US" w:eastAsia="zh-CN"/>
              </w:rPr>
              <w:t>5</w:t>
            </w:r>
          </w:p>
        </w:tc>
        <w:tc>
          <w:tcPr>
            <w:tcW w:w="599" w:type="pct"/>
            <w:vAlign w:val="center"/>
          </w:tcPr>
          <w:p w14:paraId="6C71EFF2">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合同期限</w:t>
            </w:r>
          </w:p>
        </w:tc>
        <w:tc>
          <w:tcPr>
            <w:tcW w:w="2118" w:type="pct"/>
          </w:tcPr>
          <w:p w14:paraId="60D7178F">
            <w:pPr>
              <w:spacing w:line="36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根据招标结果与中标人签署</w:t>
            </w:r>
            <w:r>
              <w:rPr>
                <w:rFonts w:hint="eastAsia" w:ascii="仿宋_GB2312" w:hAnsi="仿宋_GB2312" w:eastAsia="仿宋_GB2312" w:cs="仿宋_GB2312"/>
                <w:sz w:val="24"/>
                <w:szCs w:val="24"/>
                <w:lang w:val="en-US"/>
              </w:rPr>
              <w:t>1</w:t>
            </w:r>
            <w:r>
              <w:rPr>
                <w:rFonts w:hint="eastAsia" w:ascii="仿宋_GB2312" w:hAnsi="仿宋_GB2312" w:eastAsia="仿宋_GB2312" w:cs="仿宋_GB2312"/>
                <w:sz w:val="24"/>
                <w:szCs w:val="24"/>
              </w:rPr>
              <w:t>年期限协议。</w:t>
            </w:r>
          </w:p>
        </w:tc>
        <w:tc>
          <w:tcPr>
            <w:tcW w:w="1526" w:type="pct"/>
            <w:vAlign w:val="center"/>
          </w:tcPr>
          <w:p w14:paraId="069C6836">
            <w:pPr>
              <w:spacing w:line="360" w:lineRule="exact"/>
              <w:jc w:val="center"/>
              <w:rPr>
                <w:rFonts w:ascii="仿宋_GB2312" w:hAnsi="仿宋_GB2312" w:eastAsia="仿宋_GB2312" w:cs="仿宋_GB2312"/>
                <w:sz w:val="24"/>
                <w:szCs w:val="24"/>
              </w:rPr>
            </w:pPr>
          </w:p>
        </w:tc>
        <w:tc>
          <w:tcPr>
            <w:tcW w:w="490" w:type="pct"/>
            <w:vAlign w:val="center"/>
          </w:tcPr>
          <w:p w14:paraId="75F7C190">
            <w:pPr>
              <w:spacing w:line="360" w:lineRule="exact"/>
              <w:jc w:val="center"/>
              <w:rPr>
                <w:rFonts w:ascii="仿宋_GB2312" w:hAnsi="仿宋_GB2312" w:eastAsia="仿宋_GB2312" w:cs="仿宋_GB2312"/>
                <w:sz w:val="24"/>
                <w:szCs w:val="24"/>
              </w:rPr>
            </w:pPr>
          </w:p>
        </w:tc>
      </w:tr>
      <w:tr w14:paraId="1EE5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vAlign w:val="center"/>
          </w:tcPr>
          <w:p w14:paraId="198C985B">
            <w:pPr>
              <w:spacing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599" w:type="pct"/>
            <w:vAlign w:val="center"/>
          </w:tcPr>
          <w:p w14:paraId="7B9A8D7E">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注册年限</w:t>
            </w:r>
          </w:p>
        </w:tc>
        <w:tc>
          <w:tcPr>
            <w:tcW w:w="2118" w:type="pct"/>
          </w:tcPr>
          <w:p w14:paraId="7EA44FA6">
            <w:pPr>
              <w:pStyle w:val="4"/>
              <w:jc w:val="both"/>
              <w:rPr>
                <w:rFonts w:hint="eastAsia" w:ascii="仿宋_GB2312" w:hAnsi="仿宋_GB2312" w:eastAsia="仿宋_GB2312" w:cs="仿宋_GB2312"/>
                <w:sz w:val="24"/>
                <w:szCs w:val="24"/>
                <w:lang w:val="en-US" w:eastAsia="zh-CN" w:bidi="zh-CN"/>
              </w:rPr>
            </w:pPr>
            <w:r>
              <w:rPr>
                <w:rFonts w:hint="eastAsia" w:ascii="仿宋_GB2312" w:hAnsi="仿宋_GB2312" w:eastAsia="仿宋_GB2312" w:cs="仿宋_GB2312"/>
                <w:sz w:val="24"/>
                <w:szCs w:val="24"/>
                <w:lang w:val="zh-CN" w:eastAsia="zh-CN" w:bidi="zh-CN"/>
              </w:rPr>
              <w:t>投标单位</w:t>
            </w:r>
            <w:r>
              <w:rPr>
                <w:rFonts w:hint="eastAsia" w:ascii="仿宋_GB2312" w:hAnsi="仿宋_GB2312" w:eastAsia="仿宋_GB2312" w:cs="仿宋_GB2312"/>
                <w:sz w:val="24"/>
                <w:szCs w:val="24"/>
                <w:lang w:val="en-US" w:eastAsia="zh-CN" w:bidi="zh-CN"/>
              </w:rPr>
              <w:t>注册年限应达五年以上；</w:t>
            </w:r>
          </w:p>
          <w:p w14:paraId="466A843F">
            <w:pPr>
              <w:pStyle w:val="4"/>
              <w:jc w:val="both"/>
              <w:rPr>
                <w:rFonts w:hint="eastAsia" w:eastAsia="宋体"/>
                <w:lang w:eastAsia="zh-CN"/>
              </w:rPr>
            </w:pPr>
            <w:r>
              <w:rPr>
                <w:rFonts w:hint="eastAsia" w:ascii="仿宋_GB2312" w:hAnsi="仿宋_GB2312" w:eastAsia="仿宋_GB2312" w:cs="仿宋_GB2312"/>
                <w:sz w:val="24"/>
                <w:szCs w:val="24"/>
                <w:lang w:val="zh-CN" w:eastAsia="zh-CN" w:bidi="zh-CN"/>
              </w:rPr>
              <w:t>投标单位注册</w:t>
            </w:r>
            <w:r>
              <w:rPr>
                <w:rFonts w:hint="eastAsia" w:ascii="仿宋_GB2312" w:hAnsi="仿宋_GB2312" w:eastAsia="仿宋_GB2312" w:cs="仿宋_GB2312"/>
                <w:sz w:val="24"/>
                <w:szCs w:val="24"/>
                <w:lang w:val="en-US" w:eastAsia="zh-CN" w:bidi="zh-CN"/>
              </w:rPr>
              <w:t>时间</w:t>
            </w:r>
            <w:r>
              <w:rPr>
                <w:rFonts w:hint="eastAsia" w:ascii="仿宋_GB2312" w:hAnsi="仿宋_GB2312" w:eastAsia="仿宋_GB2312" w:cs="仿宋_GB2312"/>
                <w:sz w:val="24"/>
                <w:szCs w:val="24"/>
                <w:lang w:val="zh-CN" w:eastAsia="zh-CN" w:bidi="zh-CN"/>
              </w:rPr>
              <w:t>：</w:t>
            </w:r>
            <w:r>
              <w:rPr>
                <w:rFonts w:hint="eastAsia" w:ascii="仿宋_GB2312" w:hAnsi="仿宋_GB2312" w:eastAsia="仿宋_GB2312" w:cs="仿宋_GB2312"/>
                <w:sz w:val="24"/>
                <w:szCs w:val="24"/>
                <w:u w:val="single"/>
                <w:lang w:val="en-US" w:eastAsia="zh-CN" w:bidi="zh-CN"/>
              </w:rPr>
              <w:t xml:space="preserve">       </w:t>
            </w:r>
            <w:r>
              <w:rPr>
                <w:rFonts w:hint="eastAsia" w:ascii="仿宋_GB2312" w:hAnsi="仿宋_GB2312" w:eastAsia="仿宋_GB2312" w:cs="仿宋_GB2312"/>
                <w:sz w:val="24"/>
                <w:szCs w:val="24"/>
                <w:u w:val="none"/>
                <w:lang w:val="en-US" w:eastAsia="zh-CN" w:bidi="zh-CN"/>
              </w:rPr>
              <w:t>年</w:t>
            </w:r>
            <w:r>
              <w:rPr>
                <w:rFonts w:hint="eastAsia" w:ascii="仿宋_GB2312" w:hAnsi="仿宋_GB2312" w:eastAsia="仿宋_GB2312" w:cs="仿宋_GB2312"/>
                <w:sz w:val="24"/>
                <w:szCs w:val="24"/>
                <w:u w:val="single"/>
                <w:lang w:val="en-US" w:eastAsia="zh-CN" w:bidi="zh-CN"/>
              </w:rPr>
              <w:t xml:space="preserve">   </w:t>
            </w:r>
            <w:r>
              <w:rPr>
                <w:rFonts w:hint="eastAsia" w:ascii="仿宋_GB2312" w:hAnsi="仿宋_GB2312" w:eastAsia="仿宋_GB2312" w:cs="仿宋_GB2312"/>
                <w:sz w:val="24"/>
                <w:szCs w:val="24"/>
                <w:u w:val="none"/>
                <w:lang w:val="en-US" w:eastAsia="zh-CN" w:bidi="zh-CN"/>
              </w:rPr>
              <w:t>月</w:t>
            </w:r>
            <w:r>
              <w:rPr>
                <w:rFonts w:hint="eastAsia" w:ascii="仿宋_GB2312" w:hAnsi="仿宋_GB2312" w:eastAsia="仿宋_GB2312" w:cs="仿宋_GB2312"/>
                <w:sz w:val="24"/>
                <w:szCs w:val="24"/>
                <w:u w:val="single"/>
                <w:lang w:val="en-US" w:eastAsia="zh-CN" w:bidi="zh-CN"/>
              </w:rPr>
              <w:t xml:space="preserve">   </w:t>
            </w:r>
            <w:r>
              <w:rPr>
                <w:rFonts w:hint="eastAsia" w:ascii="仿宋_GB2312" w:hAnsi="仿宋_GB2312" w:eastAsia="仿宋_GB2312" w:cs="仿宋_GB2312"/>
                <w:sz w:val="24"/>
                <w:szCs w:val="24"/>
                <w:u w:val="none"/>
                <w:lang w:val="en-US" w:eastAsia="zh-CN" w:bidi="zh-CN"/>
              </w:rPr>
              <w:t>日</w:t>
            </w:r>
          </w:p>
        </w:tc>
        <w:tc>
          <w:tcPr>
            <w:tcW w:w="1526" w:type="pct"/>
            <w:vAlign w:val="center"/>
          </w:tcPr>
          <w:p w14:paraId="0DC2BED6">
            <w:pPr>
              <w:spacing w:line="360" w:lineRule="exact"/>
              <w:jc w:val="center"/>
              <w:rPr>
                <w:rFonts w:ascii="仿宋_GB2312" w:hAnsi="仿宋_GB2312" w:eastAsia="仿宋_GB2312" w:cs="仿宋_GB2312"/>
                <w:sz w:val="24"/>
                <w:szCs w:val="24"/>
              </w:rPr>
            </w:pPr>
          </w:p>
        </w:tc>
        <w:tc>
          <w:tcPr>
            <w:tcW w:w="490" w:type="pct"/>
            <w:vAlign w:val="center"/>
          </w:tcPr>
          <w:p w14:paraId="097DCFE8">
            <w:pPr>
              <w:spacing w:line="360" w:lineRule="exact"/>
              <w:jc w:val="center"/>
              <w:rPr>
                <w:rFonts w:ascii="仿宋_GB2312" w:hAnsi="仿宋_GB2312" w:eastAsia="仿宋_GB2312" w:cs="仿宋_GB2312"/>
                <w:sz w:val="24"/>
                <w:szCs w:val="24"/>
              </w:rPr>
            </w:pPr>
          </w:p>
        </w:tc>
      </w:tr>
    </w:tbl>
    <w:p w14:paraId="2D99E13D">
      <w:pPr>
        <w:rPr>
          <w:rFonts w:hint="eastAsia" w:ascii="仿宋_GB2312" w:hAnsi="仿宋_GB2312" w:eastAsia="仿宋_GB2312" w:cs="仿宋_GB2312"/>
          <w:b/>
          <w:bCs/>
          <w:sz w:val="32"/>
          <w:szCs w:val="32"/>
          <w:lang w:val="en-US" w:eastAsia="zh-CN"/>
        </w:rPr>
      </w:pPr>
      <w:bookmarkStart w:id="14" w:name="_GoBack"/>
      <w:bookmarkEnd w:id="14"/>
      <w:r>
        <w:rPr>
          <w:rFonts w:hint="eastAsia" w:ascii="仿宋_GB2312" w:hAnsi="仿宋_GB2312" w:eastAsia="仿宋_GB2312" w:cs="仿宋_GB2312"/>
          <w:b w:val="0"/>
          <w:bCs w:val="0"/>
          <w:sz w:val="24"/>
          <w:szCs w:val="24"/>
          <w:lang w:val="en-US" w:eastAsia="zh-CN"/>
        </w:rPr>
        <w:t>注:</w:t>
      </w:r>
      <w:r>
        <w:rPr>
          <w:rFonts w:hint="eastAsia" w:ascii="仿宋_GB2312" w:hAnsi="仿宋_GB2312" w:eastAsia="仿宋_GB2312" w:cs="仿宋_GB2312"/>
          <w:b w:val="0"/>
          <w:bCs w:val="0"/>
          <w:sz w:val="24"/>
          <w:szCs w:val="24"/>
        </w:rPr>
        <w:t>请</w:t>
      </w:r>
      <w:r>
        <w:rPr>
          <w:rFonts w:hint="eastAsia" w:ascii="仿宋_GB2312" w:hAnsi="仿宋_GB2312" w:eastAsia="仿宋_GB2312" w:cs="仿宋_GB2312"/>
          <w:b w:val="0"/>
          <w:bCs w:val="0"/>
          <w:sz w:val="24"/>
          <w:szCs w:val="24"/>
          <w:lang w:val="en-US" w:eastAsia="zh-CN"/>
        </w:rPr>
        <w:t>在应答表中</w:t>
      </w:r>
      <w:r>
        <w:rPr>
          <w:rFonts w:hint="eastAsia" w:ascii="仿宋_GB2312" w:hAnsi="仿宋_GB2312" w:eastAsia="仿宋_GB2312" w:cs="仿宋_GB2312"/>
          <w:b w:val="0"/>
          <w:bCs w:val="0"/>
          <w:sz w:val="24"/>
          <w:szCs w:val="24"/>
        </w:rPr>
        <w:t>明确回复是否已经查阅以上条款，如不满足或不接受，经招标方评估后有权拒绝其报价及中标资格</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bCs/>
          <w:sz w:val="32"/>
          <w:szCs w:val="32"/>
          <w:lang w:val="en-US"/>
        </w:rPr>
        <w:br w:type="page"/>
      </w:r>
    </w:p>
    <w:p w14:paraId="1447C52B">
      <w:pPr>
        <w:spacing w:before="120" w:beforeLines="50" w:line="360" w:lineRule="auto"/>
        <w:ind w:firstLine="643" w:firstLineChars="200"/>
        <w:jc w:val="both"/>
        <w:rPr>
          <w:rFonts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val="en-US"/>
        </w:rPr>
        <w:t>、营业执照</w:t>
      </w:r>
    </w:p>
    <w:p w14:paraId="5C3B3342">
      <w:pPr>
        <w:spacing w:before="120" w:beforeLines="50" w:line="360" w:lineRule="auto"/>
        <w:ind w:firstLine="643" w:firstLineChars="200"/>
        <w:jc w:val="both"/>
        <w:rPr>
          <w:rFonts w:ascii="仿宋_GB2312" w:hAnsi="仿宋_GB2312" w:eastAsia="仿宋_GB2312" w:cs="仿宋_GB2312"/>
          <w:b/>
          <w:bCs/>
          <w:sz w:val="32"/>
          <w:szCs w:val="32"/>
          <w:lang w:val="en-US"/>
        </w:rPr>
      </w:pPr>
    </w:p>
    <w:p w14:paraId="01012E72">
      <w:pPr>
        <w:spacing w:before="120" w:beforeLines="50" w:line="360" w:lineRule="auto"/>
        <w:jc w:val="center"/>
        <w:rPr>
          <w:rFonts w:ascii="仿宋_GB2312" w:hAnsi="仿宋_GB2312" w:eastAsia="仿宋_GB2312" w:cs="仿宋_GB2312"/>
          <w:b/>
          <w:bCs/>
          <w:sz w:val="32"/>
          <w:szCs w:val="32"/>
          <w:lang w:val="en-US"/>
        </w:rPr>
      </w:pPr>
    </w:p>
    <w:p w14:paraId="7FBA718A">
      <w:pPr>
        <w:spacing w:before="120" w:beforeLines="50" w:line="360" w:lineRule="auto"/>
        <w:jc w:val="center"/>
        <w:rPr>
          <w:rFonts w:ascii="仿宋_GB2312" w:hAnsi="仿宋_GB2312" w:eastAsia="仿宋_GB2312" w:cs="仿宋_GB2312"/>
          <w:b/>
          <w:bCs/>
          <w:sz w:val="32"/>
          <w:szCs w:val="32"/>
          <w:lang w:val="en-US"/>
        </w:rPr>
      </w:pPr>
    </w:p>
    <w:p w14:paraId="7CBE4293">
      <w:pPr>
        <w:spacing w:before="120" w:beforeLines="50" w:line="360" w:lineRule="auto"/>
        <w:jc w:val="center"/>
        <w:rPr>
          <w:rFonts w:ascii="仿宋_GB2312" w:hAnsi="仿宋_GB2312" w:eastAsia="仿宋_GB2312" w:cs="仿宋_GB2312"/>
          <w:b/>
          <w:bCs/>
          <w:sz w:val="32"/>
          <w:szCs w:val="32"/>
          <w:lang w:val="en-US"/>
        </w:rPr>
      </w:pPr>
    </w:p>
    <w:p w14:paraId="0E3BCED2">
      <w:pPr>
        <w:spacing w:before="120" w:beforeLines="50" w:line="360" w:lineRule="auto"/>
        <w:jc w:val="center"/>
        <w:rPr>
          <w:rFonts w:ascii="仿宋_GB2312" w:hAnsi="仿宋_GB2312" w:eastAsia="仿宋_GB2312" w:cs="仿宋_GB2312"/>
          <w:b/>
          <w:bCs/>
          <w:sz w:val="32"/>
          <w:szCs w:val="32"/>
          <w:lang w:val="en-US"/>
        </w:rPr>
      </w:pPr>
    </w:p>
    <w:p w14:paraId="7CE6D4BB">
      <w:pPr>
        <w:spacing w:before="120" w:beforeLines="50" w:line="360" w:lineRule="auto"/>
        <w:jc w:val="center"/>
        <w:rPr>
          <w:rFonts w:ascii="仿宋_GB2312" w:hAnsi="仿宋_GB2312" w:eastAsia="仿宋_GB2312" w:cs="仿宋_GB2312"/>
          <w:b/>
          <w:bCs/>
          <w:sz w:val="32"/>
          <w:szCs w:val="32"/>
          <w:lang w:val="en-US"/>
        </w:rPr>
      </w:pPr>
    </w:p>
    <w:p w14:paraId="27564C7B">
      <w:pPr>
        <w:spacing w:before="120" w:beforeLines="50" w:line="360" w:lineRule="auto"/>
        <w:jc w:val="center"/>
        <w:rPr>
          <w:rFonts w:ascii="仿宋_GB2312" w:hAnsi="仿宋_GB2312" w:eastAsia="仿宋_GB2312" w:cs="仿宋_GB2312"/>
          <w:b/>
          <w:bCs/>
          <w:sz w:val="32"/>
          <w:szCs w:val="32"/>
          <w:lang w:val="en-US"/>
        </w:rPr>
      </w:pPr>
    </w:p>
    <w:p w14:paraId="477E5C19">
      <w:pPr>
        <w:spacing w:before="120" w:beforeLines="50" w:line="360" w:lineRule="auto"/>
        <w:jc w:val="center"/>
        <w:rPr>
          <w:rFonts w:ascii="仿宋_GB2312" w:hAnsi="仿宋_GB2312" w:eastAsia="仿宋_GB2312" w:cs="仿宋_GB2312"/>
          <w:b/>
          <w:bCs/>
          <w:sz w:val="32"/>
          <w:szCs w:val="32"/>
          <w:lang w:val="en-US"/>
        </w:rPr>
      </w:pPr>
    </w:p>
    <w:p w14:paraId="6BE52849">
      <w:pPr>
        <w:spacing w:before="120" w:beforeLines="50" w:line="360" w:lineRule="auto"/>
        <w:jc w:val="center"/>
        <w:rPr>
          <w:rFonts w:ascii="仿宋_GB2312" w:hAnsi="仿宋_GB2312" w:eastAsia="仿宋_GB2312" w:cs="仿宋_GB2312"/>
          <w:b/>
          <w:bCs/>
          <w:sz w:val="32"/>
          <w:szCs w:val="32"/>
          <w:lang w:val="en-US"/>
        </w:rPr>
      </w:pPr>
    </w:p>
    <w:p w14:paraId="588BB6C8">
      <w:pPr>
        <w:spacing w:before="120" w:beforeLines="50" w:line="360" w:lineRule="auto"/>
        <w:jc w:val="center"/>
        <w:rPr>
          <w:rFonts w:ascii="仿宋_GB2312" w:hAnsi="仿宋_GB2312" w:eastAsia="仿宋_GB2312" w:cs="仿宋_GB2312"/>
          <w:b/>
          <w:bCs/>
          <w:sz w:val="32"/>
          <w:szCs w:val="32"/>
          <w:lang w:val="en-US"/>
        </w:rPr>
      </w:pPr>
    </w:p>
    <w:p w14:paraId="6E761B3E">
      <w:pPr>
        <w:spacing w:before="120" w:beforeLines="50" w:line="360" w:lineRule="auto"/>
        <w:jc w:val="center"/>
        <w:rPr>
          <w:rFonts w:ascii="仿宋_GB2312" w:hAnsi="仿宋_GB2312" w:eastAsia="仿宋_GB2312" w:cs="仿宋_GB2312"/>
          <w:b/>
          <w:bCs/>
          <w:sz w:val="32"/>
          <w:szCs w:val="32"/>
          <w:lang w:val="en-US"/>
        </w:rPr>
      </w:pPr>
    </w:p>
    <w:p w14:paraId="7B76D6A5">
      <w:pPr>
        <w:spacing w:before="120" w:beforeLines="50" w:line="360" w:lineRule="auto"/>
        <w:jc w:val="center"/>
        <w:rPr>
          <w:rFonts w:ascii="仿宋_GB2312" w:hAnsi="仿宋_GB2312" w:eastAsia="仿宋_GB2312" w:cs="仿宋_GB2312"/>
          <w:b/>
          <w:bCs/>
          <w:sz w:val="32"/>
          <w:szCs w:val="32"/>
          <w:lang w:val="en-US"/>
        </w:rPr>
      </w:pPr>
    </w:p>
    <w:p w14:paraId="6BD49A50">
      <w:pPr>
        <w:spacing w:before="120" w:beforeLines="50" w:line="360" w:lineRule="auto"/>
        <w:jc w:val="center"/>
        <w:rPr>
          <w:rFonts w:ascii="仿宋_GB2312" w:hAnsi="仿宋_GB2312" w:eastAsia="仿宋_GB2312" w:cs="仿宋_GB2312"/>
          <w:b/>
          <w:bCs/>
          <w:sz w:val="32"/>
          <w:szCs w:val="32"/>
          <w:lang w:val="en-US"/>
        </w:rPr>
      </w:pPr>
    </w:p>
    <w:p w14:paraId="6338EB9B">
      <w:pPr>
        <w:spacing w:before="120" w:beforeLines="50" w:line="360" w:lineRule="auto"/>
        <w:jc w:val="center"/>
        <w:rPr>
          <w:rFonts w:ascii="仿宋_GB2312" w:hAnsi="仿宋_GB2312" w:eastAsia="仿宋_GB2312" w:cs="仿宋_GB2312"/>
          <w:b/>
          <w:bCs/>
          <w:sz w:val="32"/>
          <w:szCs w:val="32"/>
          <w:lang w:val="en-US"/>
        </w:rPr>
      </w:pPr>
    </w:p>
    <w:p w14:paraId="7C9B083A">
      <w:pPr>
        <w:spacing w:before="120" w:beforeLines="50" w:line="360" w:lineRule="auto"/>
        <w:jc w:val="center"/>
        <w:rPr>
          <w:rFonts w:ascii="仿宋_GB2312" w:hAnsi="仿宋_GB2312" w:eastAsia="仿宋_GB2312" w:cs="仿宋_GB2312"/>
          <w:b/>
          <w:bCs/>
          <w:sz w:val="32"/>
          <w:szCs w:val="32"/>
          <w:lang w:val="en-US"/>
        </w:rPr>
      </w:pPr>
    </w:p>
    <w:p w14:paraId="3696BEFE">
      <w:pPr>
        <w:spacing w:before="120" w:beforeLines="50" w:line="360" w:lineRule="auto"/>
        <w:jc w:val="center"/>
        <w:rPr>
          <w:rFonts w:ascii="仿宋_GB2312" w:hAnsi="仿宋_GB2312" w:eastAsia="仿宋_GB2312" w:cs="仿宋_GB2312"/>
          <w:b/>
          <w:bCs/>
          <w:sz w:val="32"/>
          <w:szCs w:val="32"/>
          <w:lang w:val="en-US"/>
        </w:rPr>
      </w:pPr>
    </w:p>
    <w:p w14:paraId="0916D392">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14:paraId="5FF2E753">
      <w:pPr>
        <w:spacing w:before="120" w:beforeLines="50" w:line="360" w:lineRule="auto"/>
        <w:ind w:firstLine="643" w:firstLineChars="200"/>
        <w:jc w:val="both"/>
        <w:rPr>
          <w:rFonts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、道路运输经营许可证</w:t>
      </w:r>
    </w:p>
    <w:p w14:paraId="29389133">
      <w:pPr>
        <w:spacing w:before="120" w:beforeLines="50" w:line="360" w:lineRule="auto"/>
        <w:jc w:val="center"/>
        <w:rPr>
          <w:rFonts w:ascii="仿宋_GB2312" w:hAnsi="仿宋_GB2312" w:eastAsia="仿宋_GB2312" w:cs="仿宋_GB2312"/>
          <w:b/>
          <w:bCs/>
          <w:sz w:val="32"/>
          <w:szCs w:val="32"/>
          <w:lang w:val="en-US"/>
        </w:rPr>
      </w:pPr>
    </w:p>
    <w:p w14:paraId="266F83EA">
      <w:pPr>
        <w:spacing w:before="120" w:beforeLines="50" w:line="360" w:lineRule="auto"/>
        <w:jc w:val="center"/>
        <w:rPr>
          <w:rFonts w:ascii="仿宋_GB2312" w:hAnsi="仿宋_GB2312" w:eastAsia="仿宋_GB2312" w:cs="仿宋_GB2312"/>
          <w:b/>
          <w:bCs/>
          <w:sz w:val="32"/>
          <w:szCs w:val="32"/>
          <w:lang w:val="en-US"/>
        </w:rPr>
      </w:pPr>
    </w:p>
    <w:p w14:paraId="5C067C23">
      <w:pPr>
        <w:spacing w:before="120" w:beforeLines="50" w:line="360" w:lineRule="auto"/>
        <w:jc w:val="center"/>
        <w:rPr>
          <w:rFonts w:ascii="仿宋_GB2312" w:hAnsi="仿宋_GB2312" w:eastAsia="仿宋_GB2312" w:cs="仿宋_GB2312"/>
          <w:b/>
          <w:bCs/>
          <w:sz w:val="32"/>
          <w:szCs w:val="32"/>
          <w:lang w:val="en-US"/>
        </w:rPr>
      </w:pPr>
    </w:p>
    <w:p w14:paraId="6329FA7E">
      <w:pPr>
        <w:spacing w:before="120" w:beforeLines="50" w:line="360" w:lineRule="auto"/>
        <w:jc w:val="center"/>
        <w:rPr>
          <w:rFonts w:ascii="仿宋_GB2312" w:hAnsi="仿宋_GB2312" w:eastAsia="仿宋_GB2312" w:cs="仿宋_GB2312"/>
          <w:b/>
          <w:bCs/>
          <w:sz w:val="32"/>
          <w:szCs w:val="32"/>
          <w:lang w:val="en-US"/>
        </w:rPr>
      </w:pPr>
    </w:p>
    <w:p w14:paraId="48EEAAF2">
      <w:pPr>
        <w:spacing w:before="120" w:beforeLines="50" w:line="360" w:lineRule="auto"/>
        <w:jc w:val="center"/>
        <w:rPr>
          <w:rFonts w:ascii="仿宋_GB2312" w:hAnsi="仿宋_GB2312" w:eastAsia="仿宋_GB2312" w:cs="仿宋_GB2312"/>
          <w:b/>
          <w:bCs/>
          <w:sz w:val="32"/>
          <w:szCs w:val="32"/>
          <w:lang w:val="en-US"/>
        </w:rPr>
      </w:pPr>
    </w:p>
    <w:p w14:paraId="319AC460">
      <w:pPr>
        <w:spacing w:before="120" w:beforeLines="50" w:line="360" w:lineRule="auto"/>
        <w:jc w:val="center"/>
        <w:rPr>
          <w:rFonts w:ascii="仿宋_GB2312" w:hAnsi="仿宋_GB2312" w:eastAsia="仿宋_GB2312" w:cs="仿宋_GB2312"/>
          <w:b/>
          <w:bCs/>
          <w:sz w:val="32"/>
          <w:szCs w:val="32"/>
          <w:lang w:val="en-US"/>
        </w:rPr>
      </w:pPr>
    </w:p>
    <w:p w14:paraId="1DF1713C">
      <w:pPr>
        <w:spacing w:before="120" w:beforeLines="50" w:line="360" w:lineRule="auto"/>
        <w:jc w:val="center"/>
        <w:rPr>
          <w:rFonts w:ascii="仿宋_GB2312" w:hAnsi="仿宋_GB2312" w:eastAsia="仿宋_GB2312" w:cs="仿宋_GB2312"/>
          <w:b/>
          <w:bCs/>
          <w:sz w:val="32"/>
          <w:szCs w:val="32"/>
          <w:lang w:val="en-US"/>
        </w:rPr>
      </w:pPr>
    </w:p>
    <w:p w14:paraId="207F86E8">
      <w:pPr>
        <w:spacing w:before="120" w:beforeLines="50" w:line="360" w:lineRule="auto"/>
        <w:jc w:val="center"/>
        <w:rPr>
          <w:rFonts w:ascii="仿宋_GB2312" w:hAnsi="仿宋_GB2312" w:eastAsia="仿宋_GB2312" w:cs="仿宋_GB2312"/>
          <w:b/>
          <w:bCs/>
          <w:sz w:val="32"/>
          <w:szCs w:val="32"/>
          <w:lang w:val="en-US"/>
        </w:rPr>
      </w:pPr>
    </w:p>
    <w:p w14:paraId="7826A47C">
      <w:pPr>
        <w:spacing w:before="120" w:beforeLines="50" w:line="360" w:lineRule="auto"/>
        <w:jc w:val="center"/>
        <w:rPr>
          <w:rFonts w:ascii="仿宋_GB2312" w:hAnsi="仿宋_GB2312" w:eastAsia="仿宋_GB2312" w:cs="仿宋_GB2312"/>
          <w:b/>
          <w:bCs/>
          <w:sz w:val="32"/>
          <w:szCs w:val="32"/>
          <w:lang w:val="en-US"/>
        </w:rPr>
      </w:pPr>
    </w:p>
    <w:p w14:paraId="5854B1F4">
      <w:pPr>
        <w:spacing w:before="120" w:beforeLines="50" w:line="360" w:lineRule="auto"/>
        <w:jc w:val="center"/>
        <w:rPr>
          <w:rFonts w:ascii="仿宋_GB2312" w:hAnsi="仿宋_GB2312" w:eastAsia="仿宋_GB2312" w:cs="仿宋_GB2312"/>
          <w:b/>
          <w:bCs/>
          <w:sz w:val="32"/>
          <w:szCs w:val="32"/>
          <w:lang w:val="en-US"/>
        </w:rPr>
      </w:pPr>
    </w:p>
    <w:p w14:paraId="65C66CD1">
      <w:pPr>
        <w:spacing w:before="120" w:beforeLines="50" w:line="360" w:lineRule="auto"/>
        <w:jc w:val="center"/>
        <w:rPr>
          <w:rFonts w:ascii="仿宋_GB2312" w:hAnsi="仿宋_GB2312" w:eastAsia="仿宋_GB2312" w:cs="仿宋_GB2312"/>
          <w:b/>
          <w:bCs/>
          <w:sz w:val="32"/>
          <w:szCs w:val="32"/>
          <w:lang w:val="en-US"/>
        </w:rPr>
      </w:pPr>
    </w:p>
    <w:p w14:paraId="4F4BD30B">
      <w:pPr>
        <w:spacing w:before="120" w:beforeLines="50" w:line="360" w:lineRule="auto"/>
        <w:jc w:val="center"/>
        <w:rPr>
          <w:rFonts w:ascii="仿宋_GB2312" w:hAnsi="仿宋_GB2312" w:eastAsia="仿宋_GB2312" w:cs="仿宋_GB2312"/>
          <w:b/>
          <w:bCs/>
          <w:sz w:val="32"/>
          <w:szCs w:val="32"/>
          <w:lang w:val="en-US"/>
        </w:rPr>
      </w:pPr>
    </w:p>
    <w:p w14:paraId="0DB64667">
      <w:pPr>
        <w:spacing w:before="120" w:beforeLines="50" w:line="360" w:lineRule="auto"/>
        <w:jc w:val="center"/>
        <w:rPr>
          <w:rFonts w:ascii="仿宋_GB2312" w:hAnsi="仿宋_GB2312" w:eastAsia="仿宋_GB2312" w:cs="仿宋_GB2312"/>
          <w:b/>
          <w:bCs/>
          <w:sz w:val="32"/>
          <w:szCs w:val="32"/>
          <w:lang w:val="en-US"/>
        </w:rPr>
      </w:pPr>
    </w:p>
    <w:p w14:paraId="234072CE">
      <w:pPr>
        <w:spacing w:before="120" w:beforeLines="50" w:line="360" w:lineRule="auto"/>
        <w:jc w:val="center"/>
        <w:rPr>
          <w:rFonts w:ascii="仿宋_GB2312" w:hAnsi="仿宋_GB2312" w:eastAsia="仿宋_GB2312" w:cs="仿宋_GB2312"/>
          <w:b/>
          <w:bCs/>
          <w:sz w:val="32"/>
          <w:szCs w:val="32"/>
          <w:lang w:val="en-US"/>
        </w:rPr>
      </w:pPr>
    </w:p>
    <w:p w14:paraId="2953CF70">
      <w:pPr>
        <w:pStyle w:val="8"/>
        <w:rPr>
          <w:rFonts w:ascii="仿宋_GB2312" w:hAnsi="仿宋_GB2312" w:eastAsia="仿宋_GB2312" w:cs="仿宋_GB2312"/>
          <w:b/>
          <w:bCs/>
          <w:sz w:val="32"/>
          <w:szCs w:val="32"/>
          <w:lang w:val="en-US"/>
        </w:rPr>
      </w:pPr>
    </w:p>
    <w:p w14:paraId="3499B7D3">
      <w:pPr>
        <w:rPr>
          <w:rFonts w:ascii="仿宋_GB2312" w:hAnsi="仿宋_GB2312" w:eastAsia="仿宋_GB2312" w:cs="仿宋_GB2312"/>
          <w:b/>
          <w:bCs/>
          <w:sz w:val="32"/>
          <w:szCs w:val="32"/>
          <w:lang w:val="en-US"/>
        </w:rPr>
      </w:pPr>
    </w:p>
    <w:p w14:paraId="3E59305A">
      <w:pPr>
        <w:pStyle w:val="8"/>
        <w:rPr>
          <w:rFonts w:ascii="仿宋_GB2312" w:hAnsi="仿宋_GB2312" w:eastAsia="仿宋_GB2312" w:cs="仿宋_GB2312"/>
          <w:b/>
          <w:bCs/>
          <w:sz w:val="32"/>
          <w:szCs w:val="32"/>
          <w:lang w:val="en-US"/>
        </w:rPr>
      </w:pPr>
    </w:p>
    <w:p w14:paraId="686F22EC">
      <w:pPr>
        <w:rPr>
          <w:rFonts w:ascii="仿宋_GB2312" w:hAnsi="仿宋_GB2312" w:eastAsia="仿宋_GB2312" w:cs="仿宋_GB2312"/>
          <w:b/>
          <w:bCs/>
          <w:sz w:val="32"/>
          <w:szCs w:val="32"/>
          <w:lang w:val="en-US"/>
        </w:rPr>
      </w:pPr>
    </w:p>
    <w:p w14:paraId="0F5D7255">
      <w:pPr>
        <w:rPr>
          <w:rFonts w:ascii="仿宋_GB2312" w:hAnsi="仿宋_GB2312" w:eastAsia="仿宋_GB2312" w:cs="仿宋_GB2312"/>
          <w:sz w:val="32"/>
          <w:szCs w:val="32"/>
          <w:lang w:val="en-US"/>
        </w:rPr>
      </w:pPr>
    </w:p>
    <w:p w14:paraId="3D75D914">
      <w:pPr>
        <w:pStyle w:val="8"/>
        <w:spacing w:line="560" w:lineRule="exact"/>
        <w:ind w:firstLine="643" w:firstLineChars="200"/>
        <w:rPr>
          <w:rFonts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val="en-US"/>
        </w:rPr>
        <w:t>投标人提供近两年内</w:t>
      </w:r>
      <w:r>
        <w:rPr>
          <w:rFonts w:hint="eastAsia" w:ascii="仿宋_GB2312" w:hAnsi="仿宋_GB2312" w:eastAsia="仿宋_GB2312" w:cs="仿宋_GB2312"/>
          <w:b/>
          <w:bCs/>
          <w:sz w:val="32"/>
          <w:szCs w:val="32"/>
          <w:lang w:val="en-US" w:eastAsia="zh-CN"/>
        </w:rPr>
        <w:t>航材</w:t>
      </w:r>
      <w:r>
        <w:rPr>
          <w:rFonts w:hint="eastAsia" w:ascii="仿宋_GB2312" w:hAnsi="仿宋_GB2312" w:eastAsia="仿宋_GB2312" w:cs="仿宋_GB2312"/>
          <w:b/>
          <w:bCs/>
          <w:sz w:val="32"/>
          <w:szCs w:val="32"/>
          <w:lang w:val="en-US"/>
        </w:rPr>
        <w:t>运输操作证明</w:t>
      </w:r>
      <w:r>
        <w:rPr>
          <w:rFonts w:hint="eastAsia" w:ascii="仿宋_GB2312" w:hAnsi="仿宋_GB2312" w:eastAsia="仿宋_GB2312" w:cs="仿宋_GB2312"/>
          <w:sz w:val="32"/>
          <w:szCs w:val="32"/>
          <w:lang w:val="en-US"/>
        </w:rPr>
        <w:t>（每</w:t>
      </w:r>
      <w:r>
        <w:rPr>
          <w:rFonts w:hint="eastAsia" w:ascii="仿宋_GB2312" w:hAnsi="仿宋_GB2312" w:eastAsia="仿宋_GB2312" w:cs="仿宋_GB2312"/>
          <w:sz w:val="32"/>
          <w:szCs w:val="32"/>
          <w:lang w:val="en-US" w:eastAsia="zh-CN"/>
        </w:rPr>
        <w:t>家客户</w:t>
      </w:r>
      <w:r>
        <w:rPr>
          <w:rFonts w:hint="eastAsia" w:ascii="仿宋_GB2312" w:hAnsi="仿宋_GB2312" w:eastAsia="仿宋_GB2312" w:cs="仿宋_GB2312"/>
          <w:sz w:val="32"/>
          <w:szCs w:val="32"/>
          <w:lang w:val="en-US"/>
        </w:rPr>
        <w:t>均需提供合同首尾页</w:t>
      </w:r>
      <w:r>
        <w:rPr>
          <w:rFonts w:hint="eastAsia" w:ascii="仿宋_GB2312" w:hAnsi="仿宋_GB2312" w:eastAsia="仿宋_GB2312" w:cs="仿宋_GB2312"/>
          <w:sz w:val="32"/>
          <w:szCs w:val="32"/>
          <w:lang w:val="en-US" w:eastAsia="zh-CN"/>
        </w:rPr>
        <w:t>及运输凭证</w:t>
      </w:r>
      <w:r>
        <w:rPr>
          <w:rFonts w:hint="eastAsia" w:ascii="仿宋_GB2312" w:hAnsi="仿宋_GB2312" w:eastAsia="仿宋_GB2312" w:cs="仿宋_GB2312"/>
          <w:sz w:val="32"/>
          <w:szCs w:val="32"/>
          <w:lang w:val="en-US"/>
        </w:rPr>
        <w:t>）</w:t>
      </w:r>
    </w:p>
    <w:tbl>
      <w:tblPr>
        <w:tblStyle w:val="10"/>
        <w:tblW w:w="4998" w:type="pct"/>
        <w:tblInd w:w="0" w:type="dxa"/>
        <w:tblLayout w:type="autofit"/>
        <w:tblCellMar>
          <w:top w:w="0" w:type="dxa"/>
          <w:left w:w="108" w:type="dxa"/>
          <w:bottom w:w="0" w:type="dxa"/>
          <w:right w:w="108" w:type="dxa"/>
        </w:tblCellMar>
      </w:tblPr>
      <w:tblGrid>
        <w:gridCol w:w="595"/>
        <w:gridCol w:w="1358"/>
        <w:gridCol w:w="1231"/>
        <w:gridCol w:w="1296"/>
        <w:gridCol w:w="2016"/>
        <w:gridCol w:w="2081"/>
        <w:gridCol w:w="1685"/>
      </w:tblGrid>
      <w:tr w14:paraId="191ED023">
        <w:tblPrEx>
          <w:tblCellMar>
            <w:top w:w="0" w:type="dxa"/>
            <w:left w:w="108" w:type="dxa"/>
            <w:bottom w:w="0" w:type="dxa"/>
            <w:right w:w="108" w:type="dxa"/>
          </w:tblCellMar>
        </w:tblPrEx>
        <w:trPr>
          <w:trHeight w:val="54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37BB1">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bidi="ar"/>
              </w:rPr>
              <w:t>项数</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A96F7">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bidi="ar"/>
              </w:rPr>
              <w:t>客户名称</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75AFB">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bidi="ar"/>
              </w:rPr>
              <w:t>运输票数</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A39C1">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业务类型</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3DD9A">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合作时间</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569B9">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bidi="ar"/>
              </w:rPr>
              <w:t>客户联系方式</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61FEE">
            <w:pPr>
              <w:widowControl/>
              <w:jc w:val="center"/>
              <w:textAlignment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bidi="ar"/>
              </w:rPr>
              <w:t>其它情况说明</w:t>
            </w:r>
          </w:p>
        </w:tc>
      </w:tr>
      <w:tr w14:paraId="5C5D9DFF">
        <w:tblPrEx>
          <w:tblCellMar>
            <w:top w:w="0" w:type="dxa"/>
            <w:left w:w="108" w:type="dxa"/>
            <w:bottom w:w="0" w:type="dxa"/>
            <w:right w:w="108"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D21F">
            <w:pPr>
              <w:widowControl/>
              <w:jc w:val="center"/>
              <w:textAlignment w:val="center"/>
              <w:rPr>
                <w:rFonts w:hint="eastAsia"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例</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355F">
            <w:pP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Xx</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E416">
            <w:pPr>
              <w:rPr>
                <w:rFonts w:ascii="仿宋_GB2312" w:hAnsi="仿宋_GB2312" w:eastAsia="仿宋_GB2312" w:cs="仿宋_GB2312"/>
                <w:color w:val="000000"/>
                <w:sz w:val="24"/>
                <w:szCs w:val="24"/>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46F0">
            <w:pP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零担/专车</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2011">
            <w:pP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20xx.xx-20xx.xx</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9876">
            <w:pP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联系人/联系电话</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C04F">
            <w:pPr>
              <w:rPr>
                <w:rFonts w:ascii="仿宋_GB2312" w:hAnsi="仿宋_GB2312" w:eastAsia="仿宋_GB2312" w:cs="仿宋_GB2312"/>
                <w:color w:val="000000"/>
                <w:sz w:val="24"/>
                <w:szCs w:val="24"/>
              </w:rPr>
            </w:pPr>
          </w:p>
        </w:tc>
      </w:tr>
      <w:tr w14:paraId="006D8E83">
        <w:tblPrEx>
          <w:tblCellMar>
            <w:top w:w="0" w:type="dxa"/>
            <w:left w:w="108" w:type="dxa"/>
            <w:bottom w:w="0" w:type="dxa"/>
            <w:right w:w="108"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26DB">
            <w:pPr>
              <w:widowControl/>
              <w:jc w:val="center"/>
              <w:textAlignment w:val="center"/>
              <w:rPr>
                <w:rFonts w:hint="eastAsia"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F96C">
            <w:pPr>
              <w:rPr>
                <w:rFonts w:ascii="仿宋_GB2312" w:hAnsi="仿宋_GB2312" w:eastAsia="仿宋_GB2312" w:cs="仿宋_GB2312"/>
                <w:color w:val="000000"/>
                <w:sz w:val="24"/>
                <w:szCs w:val="24"/>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5E4E">
            <w:pPr>
              <w:rPr>
                <w:rFonts w:ascii="仿宋_GB2312" w:hAnsi="仿宋_GB2312" w:eastAsia="仿宋_GB2312" w:cs="仿宋_GB2312"/>
                <w:color w:val="000000"/>
                <w:sz w:val="24"/>
                <w:szCs w:val="24"/>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CBB8">
            <w:pPr>
              <w:rPr>
                <w:rFonts w:ascii="仿宋_GB2312" w:hAnsi="仿宋_GB2312" w:eastAsia="仿宋_GB2312" w:cs="仿宋_GB2312"/>
                <w:color w:val="000000"/>
                <w:sz w:val="24"/>
                <w:szCs w:val="24"/>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FD9D">
            <w:pPr>
              <w:rPr>
                <w:rFonts w:ascii="仿宋_GB2312" w:hAnsi="仿宋_GB2312" w:eastAsia="仿宋_GB2312" w:cs="仿宋_GB2312"/>
                <w:color w:val="000000"/>
                <w:sz w:val="24"/>
                <w:szCs w:val="24"/>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8F7D">
            <w:pPr>
              <w:rPr>
                <w:rFonts w:ascii="仿宋_GB2312" w:hAnsi="仿宋_GB2312" w:eastAsia="仿宋_GB2312" w:cs="仿宋_GB2312"/>
                <w:color w:val="000000"/>
                <w:sz w:val="24"/>
                <w:szCs w:val="24"/>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CDB8">
            <w:pPr>
              <w:rPr>
                <w:rFonts w:ascii="仿宋_GB2312" w:hAnsi="仿宋_GB2312" w:eastAsia="仿宋_GB2312" w:cs="仿宋_GB2312"/>
                <w:color w:val="000000"/>
                <w:sz w:val="24"/>
                <w:szCs w:val="24"/>
              </w:rPr>
            </w:pPr>
          </w:p>
        </w:tc>
      </w:tr>
      <w:tr w14:paraId="44123C8D">
        <w:tblPrEx>
          <w:tblCellMar>
            <w:top w:w="0" w:type="dxa"/>
            <w:left w:w="108" w:type="dxa"/>
            <w:bottom w:w="0" w:type="dxa"/>
            <w:right w:w="108"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9629">
            <w:pPr>
              <w:widowControl/>
              <w:jc w:val="center"/>
              <w:textAlignment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2</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6FC3">
            <w:pPr>
              <w:rPr>
                <w:rFonts w:ascii="仿宋_GB2312" w:hAnsi="仿宋_GB2312" w:eastAsia="仿宋_GB2312" w:cs="仿宋_GB2312"/>
                <w:color w:val="000000"/>
                <w:sz w:val="24"/>
                <w:szCs w:val="24"/>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9EEF">
            <w:pPr>
              <w:rPr>
                <w:rFonts w:ascii="仿宋_GB2312" w:hAnsi="仿宋_GB2312" w:eastAsia="仿宋_GB2312" w:cs="仿宋_GB2312"/>
                <w:color w:val="000000"/>
                <w:sz w:val="24"/>
                <w:szCs w:val="24"/>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DA73">
            <w:pPr>
              <w:rPr>
                <w:rFonts w:ascii="仿宋_GB2312" w:hAnsi="仿宋_GB2312" w:eastAsia="仿宋_GB2312" w:cs="仿宋_GB2312"/>
                <w:color w:val="000000"/>
                <w:sz w:val="24"/>
                <w:szCs w:val="24"/>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0379">
            <w:pPr>
              <w:rPr>
                <w:rFonts w:ascii="仿宋_GB2312" w:hAnsi="仿宋_GB2312" w:eastAsia="仿宋_GB2312" w:cs="仿宋_GB2312"/>
                <w:color w:val="000000"/>
                <w:sz w:val="24"/>
                <w:szCs w:val="24"/>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F661">
            <w:pPr>
              <w:rPr>
                <w:rFonts w:ascii="仿宋_GB2312" w:hAnsi="仿宋_GB2312" w:eastAsia="仿宋_GB2312" w:cs="仿宋_GB2312"/>
                <w:color w:val="000000"/>
                <w:sz w:val="24"/>
                <w:szCs w:val="24"/>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A752">
            <w:pPr>
              <w:rPr>
                <w:rFonts w:ascii="仿宋_GB2312" w:hAnsi="仿宋_GB2312" w:eastAsia="仿宋_GB2312" w:cs="仿宋_GB2312"/>
                <w:color w:val="000000"/>
                <w:sz w:val="24"/>
                <w:szCs w:val="24"/>
              </w:rPr>
            </w:pPr>
          </w:p>
        </w:tc>
      </w:tr>
      <w:tr w14:paraId="39BD86C1">
        <w:tblPrEx>
          <w:tblCellMar>
            <w:top w:w="0" w:type="dxa"/>
            <w:left w:w="108" w:type="dxa"/>
            <w:bottom w:w="0" w:type="dxa"/>
            <w:right w:w="108" w:type="dxa"/>
          </w:tblCellMar>
        </w:tblPrEx>
        <w:trPr>
          <w:trHeight w:val="316"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E5D9">
            <w:pPr>
              <w:widowControl/>
              <w:jc w:val="center"/>
              <w:textAlignment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3</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C214">
            <w:pPr>
              <w:rPr>
                <w:rFonts w:ascii="仿宋_GB2312" w:hAnsi="仿宋_GB2312" w:eastAsia="仿宋_GB2312" w:cs="仿宋_GB2312"/>
                <w:color w:val="000000"/>
                <w:sz w:val="24"/>
                <w:szCs w:val="24"/>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8C9F">
            <w:pPr>
              <w:rPr>
                <w:rFonts w:ascii="仿宋_GB2312" w:hAnsi="仿宋_GB2312" w:eastAsia="仿宋_GB2312" w:cs="仿宋_GB2312"/>
                <w:color w:val="000000"/>
                <w:sz w:val="24"/>
                <w:szCs w:val="24"/>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D294">
            <w:pPr>
              <w:rPr>
                <w:rFonts w:ascii="仿宋_GB2312" w:hAnsi="仿宋_GB2312" w:eastAsia="仿宋_GB2312" w:cs="仿宋_GB2312"/>
                <w:color w:val="000000"/>
                <w:sz w:val="24"/>
                <w:szCs w:val="24"/>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EE93">
            <w:pPr>
              <w:rPr>
                <w:rFonts w:ascii="仿宋_GB2312" w:hAnsi="仿宋_GB2312" w:eastAsia="仿宋_GB2312" w:cs="仿宋_GB2312"/>
                <w:color w:val="000000"/>
                <w:sz w:val="24"/>
                <w:szCs w:val="24"/>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3785">
            <w:pPr>
              <w:rPr>
                <w:rFonts w:ascii="仿宋_GB2312" w:hAnsi="仿宋_GB2312" w:eastAsia="仿宋_GB2312" w:cs="仿宋_GB2312"/>
                <w:color w:val="000000"/>
                <w:sz w:val="24"/>
                <w:szCs w:val="24"/>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13C5">
            <w:pPr>
              <w:rPr>
                <w:rFonts w:ascii="仿宋_GB2312" w:hAnsi="仿宋_GB2312" w:eastAsia="仿宋_GB2312" w:cs="仿宋_GB2312"/>
                <w:color w:val="000000"/>
                <w:sz w:val="24"/>
                <w:szCs w:val="24"/>
              </w:rPr>
            </w:pPr>
          </w:p>
        </w:tc>
      </w:tr>
      <w:tr w14:paraId="72F304A7">
        <w:tblPrEx>
          <w:tblCellMar>
            <w:top w:w="0" w:type="dxa"/>
            <w:left w:w="108" w:type="dxa"/>
            <w:bottom w:w="0" w:type="dxa"/>
            <w:right w:w="108" w:type="dxa"/>
          </w:tblCellMar>
        </w:tblPrEx>
        <w:trPr>
          <w:trHeight w:val="181"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9740">
            <w:pPr>
              <w:widowControl/>
              <w:jc w:val="center"/>
              <w:textAlignment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4</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8DDE">
            <w:pPr>
              <w:rPr>
                <w:rFonts w:ascii="仿宋_GB2312" w:hAnsi="仿宋_GB2312" w:eastAsia="仿宋_GB2312" w:cs="仿宋_GB2312"/>
                <w:color w:val="000000"/>
                <w:sz w:val="24"/>
                <w:szCs w:val="24"/>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4BB3">
            <w:pPr>
              <w:rPr>
                <w:rFonts w:ascii="仿宋_GB2312" w:hAnsi="仿宋_GB2312" w:eastAsia="仿宋_GB2312" w:cs="仿宋_GB2312"/>
                <w:color w:val="000000"/>
                <w:sz w:val="24"/>
                <w:szCs w:val="24"/>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AE8C">
            <w:pPr>
              <w:rPr>
                <w:rFonts w:ascii="仿宋_GB2312" w:hAnsi="仿宋_GB2312" w:eastAsia="仿宋_GB2312" w:cs="仿宋_GB2312"/>
                <w:color w:val="000000"/>
                <w:sz w:val="24"/>
                <w:szCs w:val="24"/>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52D2">
            <w:pPr>
              <w:rPr>
                <w:rFonts w:ascii="仿宋_GB2312" w:hAnsi="仿宋_GB2312" w:eastAsia="仿宋_GB2312" w:cs="仿宋_GB2312"/>
                <w:color w:val="000000"/>
                <w:sz w:val="24"/>
                <w:szCs w:val="24"/>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A587">
            <w:pPr>
              <w:rPr>
                <w:rFonts w:ascii="仿宋_GB2312" w:hAnsi="仿宋_GB2312" w:eastAsia="仿宋_GB2312" w:cs="仿宋_GB2312"/>
                <w:color w:val="000000"/>
                <w:sz w:val="24"/>
                <w:szCs w:val="24"/>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E93F">
            <w:pPr>
              <w:rPr>
                <w:rFonts w:ascii="仿宋_GB2312" w:hAnsi="仿宋_GB2312" w:eastAsia="仿宋_GB2312" w:cs="仿宋_GB2312"/>
                <w:color w:val="000000"/>
                <w:sz w:val="24"/>
                <w:szCs w:val="24"/>
              </w:rPr>
            </w:pPr>
          </w:p>
        </w:tc>
      </w:tr>
      <w:tr w14:paraId="425C1176">
        <w:tblPrEx>
          <w:tblCellMar>
            <w:top w:w="0" w:type="dxa"/>
            <w:left w:w="108" w:type="dxa"/>
            <w:bottom w:w="0" w:type="dxa"/>
            <w:right w:w="108"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889A">
            <w:pPr>
              <w:rPr>
                <w:rFonts w:hint="eastAsia" w:ascii="仿宋_GB2312" w:hAnsi="仿宋_GB2312" w:eastAsia="仿宋_GB2312" w:cs="仿宋_GB2312"/>
                <w:color w:val="000000"/>
                <w:sz w:val="24"/>
                <w:szCs w:val="24"/>
                <w:lang w:val="en-US" w:eastAsia="zh-CN"/>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5150">
            <w:pPr>
              <w:rPr>
                <w:rFonts w:ascii="仿宋_GB2312" w:hAnsi="仿宋_GB2312" w:eastAsia="仿宋_GB2312" w:cs="仿宋_GB2312"/>
                <w:color w:val="000000"/>
                <w:sz w:val="24"/>
                <w:szCs w:val="24"/>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1FD3">
            <w:pPr>
              <w:rPr>
                <w:rFonts w:ascii="仿宋_GB2312" w:hAnsi="仿宋_GB2312" w:eastAsia="仿宋_GB2312" w:cs="仿宋_GB2312"/>
                <w:color w:val="000000"/>
                <w:sz w:val="24"/>
                <w:szCs w:val="24"/>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048A">
            <w:pPr>
              <w:rPr>
                <w:rFonts w:ascii="仿宋_GB2312" w:hAnsi="仿宋_GB2312" w:eastAsia="仿宋_GB2312" w:cs="仿宋_GB2312"/>
                <w:color w:val="000000"/>
                <w:sz w:val="24"/>
                <w:szCs w:val="24"/>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1712">
            <w:pPr>
              <w:rPr>
                <w:rFonts w:ascii="仿宋_GB2312" w:hAnsi="仿宋_GB2312" w:eastAsia="仿宋_GB2312" w:cs="仿宋_GB2312"/>
                <w:color w:val="000000"/>
                <w:sz w:val="24"/>
                <w:szCs w:val="24"/>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4834">
            <w:pPr>
              <w:rPr>
                <w:rFonts w:ascii="仿宋_GB2312" w:hAnsi="仿宋_GB2312" w:eastAsia="仿宋_GB2312" w:cs="仿宋_GB2312"/>
                <w:color w:val="000000"/>
                <w:sz w:val="24"/>
                <w:szCs w:val="24"/>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2332">
            <w:pPr>
              <w:rPr>
                <w:rFonts w:ascii="仿宋_GB2312" w:hAnsi="仿宋_GB2312" w:eastAsia="仿宋_GB2312" w:cs="仿宋_GB2312"/>
                <w:color w:val="000000"/>
                <w:sz w:val="24"/>
                <w:szCs w:val="24"/>
              </w:rPr>
            </w:pPr>
          </w:p>
        </w:tc>
      </w:tr>
      <w:tr w14:paraId="63702450">
        <w:tblPrEx>
          <w:tblCellMar>
            <w:top w:w="0" w:type="dxa"/>
            <w:left w:w="108" w:type="dxa"/>
            <w:bottom w:w="0" w:type="dxa"/>
            <w:right w:w="108"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A996">
            <w:pPr>
              <w:rPr>
                <w:rFonts w:ascii="仿宋_GB2312" w:hAnsi="仿宋_GB2312" w:eastAsia="仿宋_GB2312" w:cs="仿宋_GB2312"/>
                <w:color w:val="000000"/>
                <w:sz w:val="24"/>
                <w:szCs w:val="24"/>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53CB">
            <w:pPr>
              <w:rPr>
                <w:rFonts w:ascii="仿宋_GB2312" w:hAnsi="仿宋_GB2312" w:eastAsia="仿宋_GB2312" w:cs="仿宋_GB2312"/>
                <w:color w:val="000000"/>
                <w:sz w:val="24"/>
                <w:szCs w:val="24"/>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C818">
            <w:pPr>
              <w:rPr>
                <w:rFonts w:ascii="仿宋_GB2312" w:hAnsi="仿宋_GB2312" w:eastAsia="仿宋_GB2312" w:cs="仿宋_GB2312"/>
                <w:color w:val="000000"/>
                <w:sz w:val="24"/>
                <w:szCs w:val="24"/>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7E5F">
            <w:pPr>
              <w:rPr>
                <w:rFonts w:ascii="仿宋_GB2312" w:hAnsi="仿宋_GB2312" w:eastAsia="仿宋_GB2312" w:cs="仿宋_GB2312"/>
                <w:color w:val="000000"/>
                <w:sz w:val="24"/>
                <w:szCs w:val="24"/>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6C61">
            <w:pPr>
              <w:rPr>
                <w:rFonts w:ascii="仿宋_GB2312" w:hAnsi="仿宋_GB2312" w:eastAsia="仿宋_GB2312" w:cs="仿宋_GB2312"/>
                <w:color w:val="000000"/>
                <w:sz w:val="24"/>
                <w:szCs w:val="24"/>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634C">
            <w:pPr>
              <w:rPr>
                <w:rFonts w:ascii="仿宋_GB2312" w:hAnsi="仿宋_GB2312" w:eastAsia="仿宋_GB2312" w:cs="仿宋_GB2312"/>
                <w:color w:val="000000"/>
                <w:sz w:val="24"/>
                <w:szCs w:val="24"/>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ABCC">
            <w:pPr>
              <w:rPr>
                <w:rFonts w:ascii="仿宋_GB2312" w:hAnsi="仿宋_GB2312" w:eastAsia="仿宋_GB2312" w:cs="仿宋_GB2312"/>
                <w:color w:val="000000"/>
                <w:sz w:val="24"/>
                <w:szCs w:val="24"/>
              </w:rPr>
            </w:pPr>
          </w:p>
        </w:tc>
      </w:tr>
      <w:tr w14:paraId="4D9D1DC3">
        <w:tblPrEx>
          <w:tblCellMar>
            <w:top w:w="0" w:type="dxa"/>
            <w:left w:w="108" w:type="dxa"/>
            <w:bottom w:w="0" w:type="dxa"/>
            <w:right w:w="108"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EC5C">
            <w:pPr>
              <w:rPr>
                <w:rFonts w:ascii="仿宋_GB2312" w:hAnsi="仿宋_GB2312" w:eastAsia="仿宋_GB2312" w:cs="仿宋_GB2312"/>
                <w:color w:val="000000"/>
                <w:sz w:val="24"/>
                <w:szCs w:val="24"/>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519E">
            <w:pPr>
              <w:rPr>
                <w:rFonts w:ascii="仿宋_GB2312" w:hAnsi="仿宋_GB2312" w:eastAsia="仿宋_GB2312" w:cs="仿宋_GB2312"/>
                <w:color w:val="000000"/>
                <w:sz w:val="24"/>
                <w:szCs w:val="24"/>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BDE4">
            <w:pPr>
              <w:rPr>
                <w:rFonts w:ascii="仿宋_GB2312" w:hAnsi="仿宋_GB2312" w:eastAsia="仿宋_GB2312" w:cs="仿宋_GB2312"/>
                <w:color w:val="000000"/>
                <w:sz w:val="24"/>
                <w:szCs w:val="24"/>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270E">
            <w:pPr>
              <w:rPr>
                <w:rFonts w:ascii="仿宋_GB2312" w:hAnsi="仿宋_GB2312" w:eastAsia="仿宋_GB2312" w:cs="仿宋_GB2312"/>
                <w:color w:val="000000"/>
                <w:sz w:val="24"/>
                <w:szCs w:val="24"/>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C68E">
            <w:pPr>
              <w:rPr>
                <w:rFonts w:ascii="仿宋_GB2312" w:hAnsi="仿宋_GB2312" w:eastAsia="仿宋_GB2312" w:cs="仿宋_GB2312"/>
                <w:color w:val="000000"/>
                <w:sz w:val="24"/>
                <w:szCs w:val="24"/>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9DF3">
            <w:pPr>
              <w:rPr>
                <w:rFonts w:ascii="仿宋_GB2312" w:hAnsi="仿宋_GB2312" w:eastAsia="仿宋_GB2312" w:cs="仿宋_GB2312"/>
                <w:color w:val="000000"/>
                <w:sz w:val="24"/>
                <w:szCs w:val="24"/>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BCF6">
            <w:pPr>
              <w:rPr>
                <w:rFonts w:ascii="仿宋_GB2312" w:hAnsi="仿宋_GB2312" w:eastAsia="仿宋_GB2312" w:cs="仿宋_GB2312"/>
                <w:color w:val="000000"/>
                <w:sz w:val="24"/>
                <w:szCs w:val="24"/>
              </w:rPr>
            </w:pPr>
          </w:p>
        </w:tc>
      </w:tr>
      <w:tr w14:paraId="40B6E6A1">
        <w:tblPrEx>
          <w:tblCellMar>
            <w:top w:w="0" w:type="dxa"/>
            <w:left w:w="108" w:type="dxa"/>
            <w:bottom w:w="0" w:type="dxa"/>
            <w:right w:w="108"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A597">
            <w:pPr>
              <w:rPr>
                <w:rFonts w:ascii="仿宋_GB2312" w:hAnsi="仿宋_GB2312" w:eastAsia="仿宋_GB2312" w:cs="仿宋_GB2312"/>
                <w:color w:val="000000"/>
                <w:sz w:val="24"/>
                <w:szCs w:val="24"/>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8805">
            <w:pPr>
              <w:rPr>
                <w:rFonts w:ascii="仿宋_GB2312" w:hAnsi="仿宋_GB2312" w:eastAsia="仿宋_GB2312" w:cs="仿宋_GB2312"/>
                <w:color w:val="000000"/>
                <w:sz w:val="24"/>
                <w:szCs w:val="24"/>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B72C">
            <w:pPr>
              <w:rPr>
                <w:rFonts w:ascii="仿宋_GB2312" w:hAnsi="仿宋_GB2312" w:eastAsia="仿宋_GB2312" w:cs="仿宋_GB2312"/>
                <w:color w:val="000000"/>
                <w:sz w:val="24"/>
                <w:szCs w:val="24"/>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FF80">
            <w:pPr>
              <w:rPr>
                <w:rFonts w:ascii="仿宋_GB2312" w:hAnsi="仿宋_GB2312" w:eastAsia="仿宋_GB2312" w:cs="仿宋_GB2312"/>
                <w:color w:val="000000"/>
                <w:sz w:val="24"/>
                <w:szCs w:val="24"/>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FC6D">
            <w:pPr>
              <w:rPr>
                <w:rFonts w:ascii="仿宋_GB2312" w:hAnsi="仿宋_GB2312" w:eastAsia="仿宋_GB2312" w:cs="仿宋_GB2312"/>
                <w:color w:val="000000"/>
                <w:sz w:val="24"/>
                <w:szCs w:val="24"/>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F805">
            <w:pPr>
              <w:rPr>
                <w:rFonts w:ascii="仿宋_GB2312" w:hAnsi="仿宋_GB2312" w:eastAsia="仿宋_GB2312" w:cs="仿宋_GB2312"/>
                <w:color w:val="000000"/>
                <w:sz w:val="24"/>
                <w:szCs w:val="24"/>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86B1">
            <w:pPr>
              <w:rPr>
                <w:rFonts w:ascii="仿宋_GB2312" w:hAnsi="仿宋_GB2312" w:eastAsia="仿宋_GB2312" w:cs="仿宋_GB2312"/>
                <w:color w:val="000000"/>
                <w:sz w:val="24"/>
                <w:szCs w:val="24"/>
              </w:rPr>
            </w:pPr>
          </w:p>
        </w:tc>
      </w:tr>
    </w:tbl>
    <w:p w14:paraId="0B9E5E6E">
      <w:pPr>
        <w:rPr>
          <w:rFonts w:ascii="仿宋_GB2312" w:hAnsi="仿宋_GB2312" w:eastAsia="仿宋_GB2312" w:cs="仿宋_GB2312"/>
          <w:b/>
          <w:bCs/>
          <w:sz w:val="32"/>
          <w:szCs w:val="32"/>
          <w:lang w:val="en-US"/>
        </w:rPr>
      </w:pPr>
    </w:p>
    <w:p w14:paraId="023F8730">
      <w:pPr>
        <w:pStyle w:val="8"/>
        <w:rPr>
          <w:rFonts w:ascii="仿宋_GB2312" w:hAnsi="仿宋_GB2312" w:eastAsia="仿宋_GB2312" w:cs="仿宋_GB2312"/>
          <w:b/>
          <w:bCs/>
          <w:sz w:val="32"/>
          <w:szCs w:val="32"/>
          <w:lang w:val="en-US"/>
        </w:rPr>
      </w:pPr>
    </w:p>
    <w:p w14:paraId="615B083F">
      <w:pPr>
        <w:rPr>
          <w:rFonts w:ascii="仿宋_GB2312" w:hAnsi="仿宋_GB2312" w:eastAsia="仿宋_GB2312" w:cs="仿宋_GB2312"/>
          <w:b/>
          <w:bCs/>
          <w:sz w:val="32"/>
          <w:szCs w:val="32"/>
          <w:lang w:val="en-US"/>
        </w:rPr>
      </w:pPr>
    </w:p>
    <w:p w14:paraId="1DC2C460">
      <w:pPr>
        <w:pStyle w:val="8"/>
        <w:rPr>
          <w:rFonts w:ascii="仿宋_GB2312" w:hAnsi="仿宋_GB2312" w:eastAsia="仿宋_GB2312" w:cs="仿宋_GB2312"/>
          <w:b/>
          <w:bCs/>
          <w:sz w:val="32"/>
          <w:szCs w:val="32"/>
          <w:lang w:val="en-US"/>
        </w:rPr>
      </w:pPr>
    </w:p>
    <w:p w14:paraId="19467F69">
      <w:pPr>
        <w:rPr>
          <w:rFonts w:ascii="仿宋_GB2312" w:hAnsi="仿宋_GB2312" w:eastAsia="仿宋_GB2312" w:cs="仿宋_GB2312"/>
          <w:b/>
          <w:bCs/>
          <w:sz w:val="32"/>
          <w:szCs w:val="32"/>
          <w:lang w:val="en-US"/>
        </w:rPr>
      </w:pPr>
    </w:p>
    <w:p w14:paraId="040411F9">
      <w:pPr>
        <w:pStyle w:val="8"/>
        <w:rPr>
          <w:rFonts w:ascii="仿宋_GB2312" w:hAnsi="仿宋_GB2312" w:eastAsia="仿宋_GB2312" w:cs="仿宋_GB2312"/>
          <w:b/>
          <w:bCs/>
          <w:sz w:val="32"/>
          <w:szCs w:val="32"/>
          <w:lang w:val="en-US"/>
        </w:rPr>
      </w:pPr>
    </w:p>
    <w:p w14:paraId="40E7A1E3">
      <w:pPr>
        <w:rPr>
          <w:rFonts w:ascii="仿宋_GB2312" w:hAnsi="仿宋_GB2312" w:eastAsia="仿宋_GB2312" w:cs="仿宋_GB2312"/>
          <w:b/>
          <w:bCs/>
          <w:sz w:val="32"/>
          <w:szCs w:val="32"/>
          <w:lang w:val="en-US"/>
        </w:rPr>
      </w:pPr>
    </w:p>
    <w:p w14:paraId="026958A1">
      <w:pPr>
        <w:pStyle w:val="8"/>
        <w:rPr>
          <w:rFonts w:ascii="仿宋_GB2312" w:hAnsi="仿宋_GB2312" w:eastAsia="仿宋_GB2312" w:cs="仿宋_GB2312"/>
          <w:b/>
          <w:bCs/>
          <w:sz w:val="32"/>
          <w:szCs w:val="32"/>
          <w:lang w:val="en-US"/>
        </w:rPr>
      </w:pPr>
    </w:p>
    <w:p w14:paraId="7E068610">
      <w:pPr>
        <w:pStyle w:val="8"/>
        <w:rPr>
          <w:rFonts w:ascii="仿宋_GB2312" w:hAnsi="仿宋_GB2312" w:eastAsia="仿宋_GB2312" w:cs="仿宋_GB2312"/>
          <w:b/>
          <w:bCs/>
          <w:sz w:val="32"/>
          <w:szCs w:val="32"/>
          <w:lang w:val="en-US"/>
        </w:rPr>
      </w:pPr>
    </w:p>
    <w:p w14:paraId="07E2A166">
      <w:pPr>
        <w:rPr>
          <w:rFonts w:ascii="仿宋_GB2312" w:hAnsi="仿宋_GB2312" w:eastAsia="仿宋_GB2312" w:cs="仿宋_GB2312"/>
          <w:b/>
          <w:bCs/>
          <w:sz w:val="32"/>
          <w:szCs w:val="32"/>
          <w:lang w:val="en-US"/>
        </w:rPr>
      </w:pPr>
    </w:p>
    <w:p w14:paraId="12752DCB">
      <w:pPr>
        <w:rPr>
          <w:rFonts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br w:type="page"/>
      </w:r>
    </w:p>
    <w:p w14:paraId="223E20F8">
      <w:pPr>
        <w:pStyle w:val="8"/>
        <w:spacing w:line="560" w:lineRule="exact"/>
        <w:ind w:firstLine="643" w:firstLineChars="200"/>
        <w:rPr>
          <w:rFonts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val="en-US"/>
        </w:rPr>
        <w:t>、提供本单位员工的中国民用航空危险品运输培训合格证等相关证件</w:t>
      </w:r>
      <w:r>
        <w:rPr>
          <w:rFonts w:hint="eastAsia" w:ascii="仿宋_GB2312" w:hAnsi="仿宋_GB2312" w:eastAsia="仿宋_GB2312" w:cs="仿宋_GB2312"/>
          <w:sz w:val="32"/>
          <w:szCs w:val="32"/>
          <w:lang w:val="en-US"/>
        </w:rPr>
        <w:t>（每名持证人均需提供证件截图）</w:t>
      </w:r>
    </w:p>
    <w:tbl>
      <w:tblPr>
        <w:tblStyle w:val="10"/>
        <w:tblW w:w="4998" w:type="pct"/>
        <w:tblInd w:w="0" w:type="dxa"/>
        <w:tblLayout w:type="autofit"/>
        <w:tblCellMar>
          <w:top w:w="0" w:type="dxa"/>
          <w:left w:w="108" w:type="dxa"/>
          <w:bottom w:w="0" w:type="dxa"/>
          <w:right w:w="108" w:type="dxa"/>
        </w:tblCellMar>
      </w:tblPr>
      <w:tblGrid>
        <w:gridCol w:w="797"/>
        <w:gridCol w:w="1503"/>
        <w:gridCol w:w="1920"/>
        <w:gridCol w:w="1787"/>
        <w:gridCol w:w="1965"/>
        <w:gridCol w:w="2290"/>
      </w:tblGrid>
      <w:tr w14:paraId="23C449F1">
        <w:tblPrEx>
          <w:tblCellMar>
            <w:top w:w="0" w:type="dxa"/>
            <w:left w:w="108" w:type="dxa"/>
            <w:bottom w:w="0" w:type="dxa"/>
            <w:right w:w="108" w:type="dxa"/>
          </w:tblCellMar>
        </w:tblPrEx>
        <w:trPr>
          <w:trHeight w:val="54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D9F7D">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项数</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56B82">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持证人</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E534C">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rPr>
              <w:t>人员证件类别</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86B29">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考核结论</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C21CA">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证件有效期</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8B18B">
            <w:pPr>
              <w:widowControl/>
              <w:jc w:val="center"/>
              <w:textAlignment w:val="center"/>
              <w:rPr>
                <w:rFonts w:ascii="仿宋_GB2312" w:eastAsia="仿宋_GB2312" w:cs="仿宋_GB2312"/>
                <w:color w:val="000000"/>
                <w:sz w:val="24"/>
                <w:szCs w:val="24"/>
                <w:lang w:val="en-US" w:bidi="ar"/>
              </w:rPr>
            </w:pPr>
            <w:r>
              <w:rPr>
                <w:rFonts w:hint="eastAsia" w:ascii="仿宋_GB2312" w:eastAsia="仿宋_GB2312" w:cs="仿宋_GB2312"/>
                <w:color w:val="000000"/>
                <w:sz w:val="24"/>
                <w:szCs w:val="24"/>
                <w:lang w:val="en-US" w:bidi="ar"/>
              </w:rPr>
              <w:t>其他说明</w:t>
            </w:r>
          </w:p>
        </w:tc>
      </w:tr>
      <w:tr w14:paraId="783EBF0E">
        <w:tblPrEx>
          <w:tblCellMar>
            <w:top w:w="0" w:type="dxa"/>
            <w:left w:w="108" w:type="dxa"/>
            <w:bottom w:w="0" w:type="dxa"/>
            <w:right w:w="108" w:type="dxa"/>
          </w:tblCellMar>
        </w:tblPrEx>
        <w:trPr>
          <w:trHeight w:val="2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DEA3">
            <w:pPr>
              <w:widowControl/>
              <w:jc w:val="center"/>
              <w:textAlignment w:val="center"/>
              <w:rPr>
                <w:rFonts w:ascii="仿宋_GB2312" w:eastAsia="仿宋_GB2312" w:cs="仿宋_GB2312"/>
                <w:color w:val="000000"/>
                <w:sz w:val="24"/>
                <w:szCs w:val="24"/>
                <w:lang w:val="en-US" w:bidi="ar"/>
              </w:rPr>
            </w:pPr>
            <w:r>
              <w:rPr>
                <w:rFonts w:hint="eastAsia" w:ascii="仿宋_GB2312" w:eastAsia="仿宋_GB2312" w:cs="仿宋_GB2312"/>
                <w:color w:val="000000"/>
                <w:sz w:val="24"/>
                <w:szCs w:val="24"/>
                <w:lang w:val="en-US"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A496">
            <w:pPr>
              <w:rPr>
                <w:color w:val="000000"/>
                <w:sz w:val="24"/>
                <w:szCs w:val="24"/>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E921">
            <w:pPr>
              <w:rPr>
                <w:color w:val="000000"/>
                <w:sz w:val="24"/>
                <w:szCs w:val="24"/>
              </w:rPr>
            </w:pP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ADFC">
            <w:pPr>
              <w:rPr>
                <w:color w:val="000000"/>
                <w:sz w:val="24"/>
                <w:szCs w:val="24"/>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9208">
            <w:pPr>
              <w:rPr>
                <w:color w:val="000000"/>
                <w:sz w:val="24"/>
                <w:szCs w:val="24"/>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6D6B">
            <w:pPr>
              <w:rPr>
                <w:color w:val="000000"/>
                <w:sz w:val="24"/>
                <w:szCs w:val="24"/>
              </w:rPr>
            </w:pPr>
          </w:p>
        </w:tc>
      </w:tr>
      <w:tr w14:paraId="03E71C75">
        <w:tblPrEx>
          <w:tblCellMar>
            <w:top w:w="0" w:type="dxa"/>
            <w:left w:w="108" w:type="dxa"/>
            <w:bottom w:w="0" w:type="dxa"/>
            <w:right w:w="108" w:type="dxa"/>
          </w:tblCellMar>
        </w:tblPrEx>
        <w:trPr>
          <w:trHeight w:val="2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C56B">
            <w:pPr>
              <w:widowControl/>
              <w:jc w:val="center"/>
              <w:textAlignment w:val="center"/>
              <w:rPr>
                <w:rFonts w:ascii="仿宋_GB2312" w:eastAsia="仿宋_GB2312" w:cs="仿宋_GB2312"/>
                <w:color w:val="000000"/>
                <w:sz w:val="24"/>
                <w:szCs w:val="24"/>
                <w:lang w:val="en-US" w:bidi="ar"/>
              </w:rPr>
            </w:pPr>
            <w:r>
              <w:rPr>
                <w:rFonts w:hint="eastAsia" w:ascii="仿宋_GB2312" w:eastAsia="仿宋_GB2312" w:cs="仿宋_GB2312"/>
                <w:color w:val="000000"/>
                <w:sz w:val="24"/>
                <w:szCs w:val="24"/>
                <w:lang w:val="en-US" w:bidi="ar"/>
              </w:rPr>
              <w:t>2</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FF08">
            <w:pPr>
              <w:rPr>
                <w:color w:val="000000"/>
                <w:sz w:val="24"/>
                <w:szCs w:val="24"/>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931B">
            <w:pPr>
              <w:rPr>
                <w:color w:val="000000"/>
                <w:sz w:val="24"/>
                <w:szCs w:val="24"/>
              </w:rPr>
            </w:pP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7CD0">
            <w:pPr>
              <w:rPr>
                <w:color w:val="000000"/>
                <w:sz w:val="24"/>
                <w:szCs w:val="24"/>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D61C">
            <w:pPr>
              <w:rPr>
                <w:color w:val="000000"/>
                <w:sz w:val="24"/>
                <w:szCs w:val="24"/>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BFE2">
            <w:pPr>
              <w:rPr>
                <w:color w:val="000000"/>
                <w:sz w:val="24"/>
                <w:szCs w:val="24"/>
              </w:rPr>
            </w:pPr>
          </w:p>
        </w:tc>
      </w:tr>
      <w:tr w14:paraId="3200DF9D">
        <w:tblPrEx>
          <w:tblCellMar>
            <w:top w:w="0" w:type="dxa"/>
            <w:left w:w="108" w:type="dxa"/>
            <w:bottom w:w="0" w:type="dxa"/>
            <w:right w:w="108" w:type="dxa"/>
          </w:tblCellMar>
        </w:tblPrEx>
        <w:trPr>
          <w:trHeight w:val="2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CD56">
            <w:pPr>
              <w:widowControl/>
              <w:jc w:val="center"/>
              <w:textAlignment w:val="center"/>
              <w:rPr>
                <w:rFonts w:ascii="仿宋_GB2312" w:eastAsia="仿宋_GB2312" w:cs="仿宋_GB2312"/>
                <w:color w:val="000000"/>
                <w:sz w:val="24"/>
                <w:szCs w:val="24"/>
                <w:lang w:val="en-US" w:bidi="ar"/>
              </w:rPr>
            </w:pPr>
            <w:r>
              <w:rPr>
                <w:rFonts w:hint="eastAsia" w:ascii="仿宋_GB2312" w:eastAsia="仿宋_GB2312" w:cs="仿宋_GB2312"/>
                <w:color w:val="000000"/>
                <w:sz w:val="24"/>
                <w:szCs w:val="24"/>
                <w:lang w:val="en-US" w:bidi="ar"/>
              </w:rPr>
              <w:t>3</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4519">
            <w:pPr>
              <w:rPr>
                <w:color w:val="000000"/>
                <w:sz w:val="24"/>
                <w:szCs w:val="24"/>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8E83">
            <w:pPr>
              <w:rPr>
                <w:color w:val="000000"/>
                <w:sz w:val="24"/>
                <w:szCs w:val="24"/>
              </w:rPr>
            </w:pP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50F8">
            <w:pPr>
              <w:rPr>
                <w:color w:val="000000"/>
                <w:sz w:val="24"/>
                <w:szCs w:val="24"/>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1C03">
            <w:pPr>
              <w:rPr>
                <w:color w:val="000000"/>
                <w:sz w:val="24"/>
                <w:szCs w:val="24"/>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27E7">
            <w:pPr>
              <w:rPr>
                <w:color w:val="000000"/>
                <w:sz w:val="24"/>
                <w:szCs w:val="24"/>
              </w:rPr>
            </w:pPr>
          </w:p>
        </w:tc>
      </w:tr>
      <w:tr w14:paraId="63B447F6">
        <w:tblPrEx>
          <w:tblCellMar>
            <w:top w:w="0" w:type="dxa"/>
            <w:left w:w="108" w:type="dxa"/>
            <w:bottom w:w="0" w:type="dxa"/>
            <w:right w:w="108" w:type="dxa"/>
          </w:tblCellMar>
        </w:tblPrEx>
        <w:trPr>
          <w:trHeight w:val="2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6031">
            <w:pPr>
              <w:widowControl/>
              <w:jc w:val="center"/>
              <w:textAlignment w:val="center"/>
              <w:rPr>
                <w:rFonts w:ascii="仿宋_GB2312" w:eastAsia="仿宋_GB2312" w:cs="仿宋_GB2312"/>
                <w:color w:val="000000"/>
                <w:sz w:val="24"/>
                <w:szCs w:val="24"/>
                <w:lang w:val="en-US" w:bidi="ar"/>
              </w:rPr>
            </w:pPr>
            <w:r>
              <w:rPr>
                <w:rFonts w:hint="eastAsia" w:ascii="仿宋_GB2312" w:eastAsia="仿宋_GB2312" w:cs="仿宋_GB2312"/>
                <w:color w:val="000000"/>
                <w:sz w:val="24"/>
                <w:szCs w:val="24"/>
                <w:lang w:val="en-US" w:bidi="ar"/>
              </w:rPr>
              <w:t>4</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86F6">
            <w:pPr>
              <w:rPr>
                <w:color w:val="000000"/>
                <w:sz w:val="24"/>
                <w:szCs w:val="24"/>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DA43">
            <w:pPr>
              <w:rPr>
                <w:color w:val="000000"/>
                <w:sz w:val="24"/>
                <w:szCs w:val="24"/>
              </w:rPr>
            </w:pP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C1A2">
            <w:pPr>
              <w:rPr>
                <w:color w:val="000000"/>
                <w:sz w:val="24"/>
                <w:szCs w:val="24"/>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A898">
            <w:pPr>
              <w:rPr>
                <w:color w:val="000000"/>
                <w:sz w:val="24"/>
                <w:szCs w:val="24"/>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F707">
            <w:pPr>
              <w:rPr>
                <w:color w:val="000000"/>
                <w:sz w:val="24"/>
                <w:szCs w:val="24"/>
              </w:rPr>
            </w:pPr>
          </w:p>
        </w:tc>
      </w:tr>
      <w:tr w14:paraId="7A93F6FD">
        <w:tblPrEx>
          <w:tblCellMar>
            <w:top w:w="0" w:type="dxa"/>
            <w:left w:w="108" w:type="dxa"/>
            <w:bottom w:w="0" w:type="dxa"/>
            <w:right w:w="108" w:type="dxa"/>
          </w:tblCellMar>
        </w:tblPrEx>
        <w:trPr>
          <w:trHeight w:val="2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E954">
            <w:pPr>
              <w:rPr>
                <w:color w:val="000000"/>
                <w:sz w:val="24"/>
                <w:szCs w:val="24"/>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4631">
            <w:pPr>
              <w:rPr>
                <w:color w:val="000000"/>
                <w:sz w:val="24"/>
                <w:szCs w:val="24"/>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2F98">
            <w:pPr>
              <w:rPr>
                <w:color w:val="000000"/>
                <w:sz w:val="24"/>
                <w:szCs w:val="24"/>
              </w:rPr>
            </w:pP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0CDA">
            <w:pPr>
              <w:rPr>
                <w:color w:val="000000"/>
                <w:sz w:val="24"/>
                <w:szCs w:val="24"/>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5CF0">
            <w:pPr>
              <w:rPr>
                <w:color w:val="000000"/>
                <w:sz w:val="24"/>
                <w:szCs w:val="24"/>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1469">
            <w:pPr>
              <w:rPr>
                <w:color w:val="000000"/>
                <w:sz w:val="24"/>
                <w:szCs w:val="24"/>
              </w:rPr>
            </w:pPr>
          </w:p>
        </w:tc>
      </w:tr>
      <w:tr w14:paraId="5A1E730B">
        <w:tblPrEx>
          <w:tblCellMar>
            <w:top w:w="0" w:type="dxa"/>
            <w:left w:w="108" w:type="dxa"/>
            <w:bottom w:w="0" w:type="dxa"/>
            <w:right w:w="108" w:type="dxa"/>
          </w:tblCellMar>
        </w:tblPrEx>
        <w:trPr>
          <w:trHeight w:val="2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9305">
            <w:pPr>
              <w:rPr>
                <w:color w:val="000000"/>
                <w:sz w:val="24"/>
                <w:szCs w:val="24"/>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E2C1">
            <w:pPr>
              <w:rPr>
                <w:color w:val="000000"/>
                <w:sz w:val="24"/>
                <w:szCs w:val="24"/>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7232">
            <w:pPr>
              <w:rPr>
                <w:color w:val="000000"/>
                <w:sz w:val="24"/>
                <w:szCs w:val="24"/>
              </w:rPr>
            </w:pP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4F5D">
            <w:pPr>
              <w:rPr>
                <w:color w:val="000000"/>
                <w:sz w:val="24"/>
                <w:szCs w:val="24"/>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3741">
            <w:pPr>
              <w:rPr>
                <w:color w:val="000000"/>
                <w:sz w:val="24"/>
                <w:szCs w:val="24"/>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2858">
            <w:pPr>
              <w:rPr>
                <w:color w:val="000000"/>
                <w:sz w:val="24"/>
                <w:szCs w:val="24"/>
              </w:rPr>
            </w:pPr>
          </w:p>
        </w:tc>
      </w:tr>
    </w:tbl>
    <w:p w14:paraId="6C9F8461">
      <w:pPr>
        <w:rPr>
          <w:rFonts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br w:type="page"/>
      </w:r>
    </w:p>
    <w:p w14:paraId="3F7A13C1">
      <w:pPr>
        <w:ind w:firstLine="643" w:firstLineChars="200"/>
        <w:rPr>
          <w:rFonts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val="en-US"/>
        </w:rPr>
        <w:t>、国家企业信用信息公示系统信息及相关说明</w:t>
      </w:r>
    </w:p>
    <w:p w14:paraId="762A2559">
      <w:pPr>
        <w:spacing w:before="120" w:beforeLines="50" w:line="360" w:lineRule="auto"/>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（一）行政处罚信息</w:t>
      </w:r>
    </w:p>
    <w:p w14:paraId="1AB73605">
      <w:pPr>
        <w:spacing w:before="120" w:beforeLines="50" w:line="360" w:lineRule="auto"/>
        <w:ind w:firstLine="640" w:firstLineChars="200"/>
        <w:jc w:val="both"/>
        <w:rPr>
          <w:rFonts w:ascii="仿宋_GB2312" w:hAnsi="仿宋_GB2312" w:eastAsia="仿宋_GB2312" w:cs="仿宋_GB2312"/>
          <w:sz w:val="32"/>
          <w:szCs w:val="32"/>
          <w:lang w:val="en-US"/>
        </w:rPr>
      </w:pPr>
    </w:p>
    <w:p w14:paraId="42A10685">
      <w:pPr>
        <w:spacing w:before="120" w:beforeLines="50" w:line="360" w:lineRule="auto"/>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（二）列入经营异常名录信息</w:t>
      </w:r>
    </w:p>
    <w:p w14:paraId="2CD887D6">
      <w:pPr>
        <w:spacing w:before="120" w:beforeLines="50" w:line="360" w:lineRule="auto"/>
        <w:ind w:firstLine="640" w:firstLineChars="200"/>
        <w:jc w:val="both"/>
        <w:rPr>
          <w:rFonts w:ascii="仿宋_GB2312" w:hAnsi="仿宋_GB2312" w:eastAsia="仿宋_GB2312" w:cs="仿宋_GB2312"/>
          <w:sz w:val="32"/>
          <w:szCs w:val="32"/>
          <w:lang w:val="en-US"/>
        </w:rPr>
      </w:pPr>
    </w:p>
    <w:p w14:paraId="59E8A8D1">
      <w:pPr>
        <w:spacing w:before="120" w:beforeLines="50" w:line="360" w:lineRule="auto"/>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（三）列入严重违法失信名单（黑名单）信息</w:t>
      </w:r>
    </w:p>
    <w:p w14:paraId="29F00253">
      <w:pPr>
        <w:spacing w:before="120" w:beforeLines="50" w:line="360" w:lineRule="auto"/>
        <w:ind w:firstLine="640" w:firstLineChars="200"/>
        <w:jc w:val="both"/>
        <w:rPr>
          <w:rFonts w:ascii="仿宋_GB2312" w:hAnsi="仿宋_GB2312" w:eastAsia="仿宋_GB2312" w:cs="仿宋_GB2312"/>
          <w:sz w:val="32"/>
          <w:szCs w:val="32"/>
          <w:lang w:val="en-US"/>
        </w:rPr>
      </w:pPr>
    </w:p>
    <w:p w14:paraId="228A6732">
      <w:pPr>
        <w:spacing w:before="120" w:beforeLines="50" w:line="360" w:lineRule="auto"/>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（四）近5年内经营活动中无重大违法记录的书面声明（无格式版本，由投标方自行书面拟定声明）</w:t>
      </w:r>
    </w:p>
    <w:p w14:paraId="47BC29CB">
      <w:pPr>
        <w:rPr>
          <w:rFonts w:ascii="仿宋_GB2312" w:hAnsi="仿宋_GB2312" w:eastAsia="仿宋_GB2312" w:cs="仿宋_GB2312"/>
          <w:b/>
          <w:bCs/>
          <w:sz w:val="32"/>
          <w:szCs w:val="32"/>
          <w:lang w:val="en-US"/>
        </w:rPr>
      </w:pPr>
    </w:p>
    <w:p w14:paraId="043EDAD1">
      <w:pPr>
        <w:rPr>
          <w:rFonts w:ascii="仿宋_GB2312" w:hAnsi="仿宋_GB2312" w:eastAsia="仿宋_GB2312" w:cs="仿宋_GB2312"/>
          <w:sz w:val="32"/>
          <w:szCs w:val="32"/>
          <w:lang w:val="en-US"/>
        </w:rPr>
      </w:pPr>
    </w:p>
    <w:p w14:paraId="1918CA56">
      <w:pPr>
        <w:pStyle w:val="8"/>
        <w:rPr>
          <w:rFonts w:ascii="仿宋_GB2312" w:hAnsi="仿宋_GB2312" w:eastAsia="仿宋_GB2312" w:cs="仿宋_GB2312"/>
          <w:sz w:val="32"/>
          <w:szCs w:val="32"/>
          <w:lang w:val="en-US"/>
        </w:rPr>
      </w:pPr>
    </w:p>
    <w:p w14:paraId="7943762E">
      <w:pPr>
        <w:rPr>
          <w:rFonts w:ascii="仿宋_GB2312" w:hAnsi="仿宋_GB2312" w:eastAsia="仿宋_GB2312" w:cs="仿宋_GB2312"/>
          <w:sz w:val="32"/>
          <w:szCs w:val="32"/>
          <w:lang w:val="en-US"/>
        </w:rPr>
      </w:pPr>
    </w:p>
    <w:p w14:paraId="71D45AEE">
      <w:pPr>
        <w:pStyle w:val="8"/>
        <w:rPr>
          <w:rFonts w:ascii="仿宋_GB2312" w:hAnsi="仿宋_GB2312" w:eastAsia="仿宋_GB2312" w:cs="仿宋_GB2312"/>
          <w:sz w:val="32"/>
          <w:szCs w:val="32"/>
          <w:lang w:val="en-US"/>
        </w:rPr>
      </w:pPr>
    </w:p>
    <w:p w14:paraId="4221C043">
      <w:pPr>
        <w:rPr>
          <w:rFonts w:ascii="仿宋_GB2312" w:hAnsi="仿宋_GB2312" w:eastAsia="仿宋_GB2312" w:cs="仿宋_GB2312"/>
          <w:sz w:val="32"/>
          <w:szCs w:val="32"/>
          <w:lang w:val="en-US"/>
        </w:rPr>
      </w:pPr>
    </w:p>
    <w:p w14:paraId="44F3A640">
      <w:pPr>
        <w:pStyle w:val="8"/>
        <w:rPr>
          <w:rFonts w:ascii="仿宋_GB2312" w:hAnsi="仿宋_GB2312" w:eastAsia="仿宋_GB2312" w:cs="仿宋_GB2312"/>
          <w:sz w:val="32"/>
          <w:szCs w:val="32"/>
          <w:lang w:val="en-US"/>
        </w:rPr>
      </w:pPr>
    </w:p>
    <w:p w14:paraId="68C9553C">
      <w:pPr>
        <w:rPr>
          <w:rFonts w:ascii="仿宋_GB2312" w:hAnsi="仿宋_GB2312" w:eastAsia="仿宋_GB2312" w:cs="仿宋_GB2312"/>
          <w:sz w:val="32"/>
          <w:szCs w:val="32"/>
          <w:lang w:val="en-US"/>
        </w:rPr>
      </w:pPr>
    </w:p>
    <w:p w14:paraId="6A421CE9">
      <w:pPr>
        <w:pStyle w:val="8"/>
        <w:rPr>
          <w:rFonts w:ascii="仿宋_GB2312" w:hAnsi="仿宋_GB2312" w:eastAsia="仿宋_GB2312" w:cs="仿宋_GB2312"/>
          <w:sz w:val="32"/>
          <w:szCs w:val="32"/>
          <w:lang w:val="en-US"/>
        </w:rPr>
      </w:pPr>
    </w:p>
    <w:p w14:paraId="53A980C7">
      <w:pPr>
        <w:rPr>
          <w:rFonts w:ascii="仿宋_GB2312" w:hAnsi="仿宋_GB2312" w:eastAsia="仿宋_GB2312" w:cs="仿宋_GB2312"/>
          <w:sz w:val="32"/>
          <w:szCs w:val="32"/>
          <w:lang w:val="en-US"/>
        </w:rPr>
      </w:pPr>
    </w:p>
    <w:p w14:paraId="56653362">
      <w:pPr>
        <w:pStyle w:val="8"/>
        <w:rPr>
          <w:rFonts w:ascii="仿宋_GB2312" w:hAnsi="仿宋_GB2312" w:eastAsia="仿宋_GB2312" w:cs="仿宋_GB2312"/>
          <w:sz w:val="32"/>
          <w:szCs w:val="32"/>
          <w:lang w:val="en-US"/>
        </w:rPr>
      </w:pPr>
    </w:p>
    <w:p w14:paraId="358699BC">
      <w:pPr>
        <w:rPr>
          <w:rFonts w:ascii="仿宋_GB2312" w:hAnsi="仿宋_GB2312" w:eastAsia="仿宋_GB2312" w:cs="仿宋_GB2312"/>
          <w:sz w:val="32"/>
          <w:szCs w:val="32"/>
          <w:lang w:val="en-US"/>
        </w:rPr>
      </w:pPr>
    </w:p>
    <w:p w14:paraId="58B1BE89">
      <w:pPr>
        <w:pStyle w:val="8"/>
        <w:rPr>
          <w:rFonts w:ascii="仿宋_GB2312" w:hAnsi="仿宋_GB2312" w:eastAsia="仿宋_GB2312" w:cs="仿宋_GB2312"/>
          <w:sz w:val="32"/>
          <w:szCs w:val="32"/>
          <w:lang w:val="en-US"/>
        </w:rPr>
      </w:pPr>
    </w:p>
    <w:p w14:paraId="3046D8BD">
      <w:pPr>
        <w:rPr>
          <w:rFonts w:ascii="仿宋_GB2312" w:hAnsi="仿宋_GB2312" w:eastAsia="仿宋_GB2312" w:cs="仿宋_GB2312"/>
          <w:sz w:val="32"/>
          <w:szCs w:val="32"/>
          <w:lang w:val="en-US"/>
        </w:rPr>
      </w:pPr>
    </w:p>
    <w:p w14:paraId="585C5218">
      <w:pPr>
        <w:pStyle w:val="8"/>
        <w:rPr>
          <w:rFonts w:ascii="仿宋_GB2312" w:hAnsi="仿宋_GB2312" w:eastAsia="仿宋_GB2312" w:cs="仿宋_GB2312"/>
          <w:sz w:val="32"/>
          <w:szCs w:val="32"/>
          <w:lang w:val="en-US"/>
        </w:rPr>
      </w:pPr>
    </w:p>
    <w:p w14:paraId="74C4079E">
      <w:pPr>
        <w:rPr>
          <w:rFonts w:ascii="仿宋_GB2312" w:hAnsi="仿宋_GB2312" w:eastAsia="仿宋_GB2312" w:cs="仿宋_GB2312"/>
          <w:sz w:val="32"/>
          <w:szCs w:val="32"/>
          <w:lang w:val="en-US"/>
        </w:rPr>
      </w:pPr>
    </w:p>
    <w:p w14:paraId="3C091512">
      <w:pPr>
        <w:pStyle w:val="8"/>
        <w:rPr>
          <w:rFonts w:ascii="仿宋_GB2312" w:hAnsi="仿宋_GB2312" w:eastAsia="仿宋_GB2312" w:cs="仿宋_GB2312"/>
          <w:sz w:val="32"/>
          <w:szCs w:val="32"/>
          <w:lang w:val="en-US"/>
        </w:rPr>
      </w:pPr>
    </w:p>
    <w:p w14:paraId="6181CF0A">
      <w:pPr>
        <w:rPr>
          <w:rFonts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br w:type="page"/>
      </w:r>
    </w:p>
    <w:p w14:paraId="42FA6911">
      <w:pPr>
        <w:spacing w:before="120" w:beforeLines="50" w:line="360" w:lineRule="auto"/>
        <w:ind w:firstLine="643" w:firstLineChars="200"/>
        <w:jc w:val="both"/>
        <w:rPr>
          <w:rFonts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lang w:val="en-US"/>
        </w:rPr>
        <w:t>、法定代表人资格证明书</w:t>
      </w:r>
    </w:p>
    <w:p w14:paraId="51B662D1">
      <w:pPr>
        <w:pStyle w:val="8"/>
        <w:rPr>
          <w:rFonts w:ascii="仿宋_GB2312" w:hAnsi="仿宋_GB2312" w:eastAsia="仿宋_GB2312" w:cs="仿宋_GB2312"/>
          <w:sz w:val="32"/>
          <w:szCs w:val="32"/>
          <w:lang w:val="en-US"/>
        </w:rPr>
      </w:pPr>
    </w:p>
    <w:bookmarkEnd w:id="2"/>
    <w:p w14:paraId="7E3B6BD0">
      <w:pPr>
        <w:widowControl/>
        <w:spacing w:line="600" w:lineRule="exact"/>
        <w:ind w:left="102"/>
        <w:jc w:val="center"/>
        <w:rPr>
          <w:rFonts w:ascii="仿宋_GB2312" w:hAnsi="仿宋_GB2312" w:eastAsia="仿宋_GB2312" w:cs="仿宋_GB2312"/>
          <w:b/>
          <w:bCs/>
          <w:color w:val="000000"/>
          <w:sz w:val="32"/>
          <w:szCs w:val="32"/>
        </w:rPr>
      </w:pPr>
    </w:p>
    <w:p w14:paraId="5763CE76">
      <w:pPr>
        <w:widowControl/>
        <w:spacing w:line="600" w:lineRule="exact"/>
        <w:ind w:left="102"/>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法定代表人资格证明书</w:t>
      </w:r>
    </w:p>
    <w:p w14:paraId="7F248652">
      <w:pPr>
        <w:widowControl/>
        <w:spacing w:line="600" w:lineRule="exact"/>
        <w:ind w:left="102"/>
        <w:jc w:val="center"/>
        <w:rPr>
          <w:rFonts w:ascii="仿宋_GB2312" w:hAnsi="仿宋_GB2312" w:eastAsia="仿宋_GB2312" w:cs="仿宋_GB2312"/>
          <w:b/>
          <w:bCs/>
          <w:color w:val="000000"/>
          <w:sz w:val="32"/>
          <w:szCs w:val="32"/>
        </w:rPr>
      </w:pPr>
    </w:p>
    <w:p w14:paraId="0FB2ACCB">
      <w:pPr>
        <w:widowControl/>
        <w:spacing w:line="520" w:lineRule="atLeast"/>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海南航空控股股份有限公司：</w:t>
      </w:r>
    </w:p>
    <w:p w14:paraId="2BF4B609">
      <w:pPr>
        <w:widowControl/>
        <w:spacing w:line="5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姓名：________，身份证号：___________，在我公司职务：_______，系_________________的法定代表人，代表我公司参加贵公司组织的202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国内航材陆运</w:t>
      </w:r>
      <w:r>
        <w:rPr>
          <w:rFonts w:hint="eastAsia" w:ascii="仿宋_GB2312" w:hAnsi="仿宋_GB2312" w:eastAsia="仿宋_GB2312" w:cs="仿宋_GB2312"/>
          <w:color w:val="000000"/>
          <w:sz w:val="32"/>
          <w:szCs w:val="32"/>
        </w:rPr>
        <w:t>服务项目招标活动，签署该招标项目的投标文件、进行合同谈判、签署合同和处理与之有关的一切事务。</w:t>
      </w:r>
    </w:p>
    <w:p w14:paraId="5EC57B89">
      <w:pPr>
        <w:widowControl/>
        <w:spacing w:line="5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特此证明</w:t>
      </w:r>
    </w:p>
    <w:p w14:paraId="511351E1">
      <w:pPr>
        <w:widowControl/>
        <w:spacing w:line="520" w:lineRule="atLeast"/>
        <w:ind w:left="480"/>
        <w:rPr>
          <w:rFonts w:ascii="仿宋_GB2312" w:hAnsi="仿宋_GB2312" w:eastAsia="仿宋_GB2312" w:cs="仿宋_GB2312"/>
          <w:sz w:val="32"/>
          <w:szCs w:val="32"/>
        </w:rPr>
      </w:pPr>
    </w:p>
    <w:p w14:paraId="37030498">
      <w:pPr>
        <w:widowControl/>
        <w:spacing w:line="520" w:lineRule="atLeast"/>
        <w:ind w:left="480"/>
        <w:rPr>
          <w:rFonts w:ascii="仿宋_GB2312" w:hAnsi="仿宋_GB2312" w:eastAsia="仿宋_GB2312" w:cs="仿宋_GB2312"/>
          <w:color w:val="000000"/>
          <w:sz w:val="32"/>
          <w:szCs w:val="32"/>
        </w:rPr>
      </w:pPr>
    </w:p>
    <w:p w14:paraId="408F4E05">
      <w:pPr>
        <w:widowControl/>
        <w:spacing w:line="520" w:lineRule="atLeast"/>
        <w:ind w:left="48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投标人：(盖章)</w:t>
      </w:r>
    </w:p>
    <w:p w14:paraId="78E79EA5">
      <w:pPr>
        <w:widowControl/>
        <w:spacing w:line="520" w:lineRule="atLeast"/>
        <w:ind w:left="48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日期：____年__月__日</w:t>
      </w:r>
    </w:p>
    <w:p w14:paraId="6D9E3AC2">
      <w:pPr>
        <w:widowControl/>
        <w:spacing w:line="500" w:lineRule="atLeast"/>
        <w:rPr>
          <w:rFonts w:ascii="仿宋_GB2312" w:hAnsi="仿宋_GB2312" w:eastAsia="仿宋_GB2312" w:cs="仿宋_GB2312"/>
          <w:sz w:val="32"/>
          <w:szCs w:val="32"/>
        </w:rPr>
      </w:pPr>
    </w:p>
    <w:p w14:paraId="72A8D292">
      <w:pPr>
        <w:spacing w:line="600" w:lineRule="exact"/>
        <w:rPr>
          <w:rFonts w:ascii="仿宋_GB2312" w:hAnsi="仿宋_GB2312" w:eastAsia="仿宋_GB2312" w:cs="仿宋_GB2312"/>
          <w:sz w:val="32"/>
          <w:szCs w:val="32"/>
        </w:rPr>
      </w:pPr>
    </w:p>
    <w:p w14:paraId="14089B2E">
      <w:pPr>
        <w:tabs>
          <w:tab w:val="left" w:pos="0"/>
        </w:tabs>
        <w:spacing w:line="600" w:lineRule="exact"/>
        <w:ind w:right="440" w:rightChars="200"/>
        <w:rPr>
          <w:rFonts w:ascii="仿宋_GB2312" w:hAnsi="仿宋_GB2312" w:eastAsia="仿宋_GB2312" w:cs="仿宋_GB2312"/>
          <w:sz w:val="32"/>
          <w:szCs w:val="32"/>
        </w:rPr>
      </w:pPr>
    </w:p>
    <w:p w14:paraId="40A152E0">
      <w:pPr>
        <w:pStyle w:val="2"/>
        <w:spacing w:line="360" w:lineRule="auto"/>
        <w:rPr>
          <w:rFonts w:ascii="仿宋_GB2312" w:hAnsi="仿宋_GB2312" w:eastAsia="仿宋_GB2312" w:cs="仿宋_GB2312"/>
          <w:sz w:val="32"/>
          <w:szCs w:val="32"/>
        </w:rPr>
      </w:pPr>
    </w:p>
    <w:p w14:paraId="7AE8052D">
      <w:pPr>
        <w:pStyle w:val="2"/>
        <w:spacing w:line="360" w:lineRule="auto"/>
        <w:jc w:val="both"/>
        <w:rPr>
          <w:rFonts w:ascii="仿宋_GB2312" w:hAnsi="仿宋_GB2312" w:eastAsia="仿宋_GB2312" w:cs="仿宋_GB2312"/>
          <w:sz w:val="32"/>
          <w:szCs w:val="32"/>
          <w:lang w:val="en-US"/>
        </w:rPr>
      </w:pPr>
    </w:p>
    <w:p w14:paraId="53FF6791">
      <w:pPr>
        <w:rPr>
          <w:rFonts w:ascii="仿宋_GB2312" w:hAnsi="仿宋_GB2312" w:eastAsia="仿宋_GB2312" w:cs="仿宋_GB2312"/>
          <w:sz w:val="32"/>
          <w:szCs w:val="32"/>
          <w:lang w:val="en-US"/>
        </w:rPr>
      </w:pPr>
    </w:p>
    <w:p w14:paraId="696EF79F">
      <w:pPr>
        <w:pStyle w:val="8"/>
        <w:rPr>
          <w:rFonts w:ascii="仿宋_GB2312" w:hAnsi="仿宋_GB2312" w:eastAsia="仿宋_GB2312" w:cs="仿宋_GB2312"/>
          <w:sz w:val="32"/>
          <w:szCs w:val="32"/>
          <w:lang w:val="en-US"/>
        </w:rPr>
      </w:pPr>
    </w:p>
    <w:p w14:paraId="0FAF37BF">
      <w:pPr>
        <w:rPr>
          <w:rFonts w:ascii="仿宋_GB2312" w:hAnsi="仿宋_GB2312" w:eastAsia="仿宋_GB2312" w:cs="仿宋_GB2312"/>
          <w:sz w:val="32"/>
          <w:szCs w:val="32"/>
          <w:lang w:val="en-US"/>
        </w:rPr>
      </w:pPr>
    </w:p>
    <w:p w14:paraId="38181769">
      <w:pPr>
        <w:pStyle w:val="2"/>
        <w:spacing w:line="360" w:lineRule="auto"/>
        <w:rPr>
          <w:rFonts w:ascii="仿宋_GB2312" w:hAnsi="仿宋_GB2312" w:eastAsia="仿宋_GB2312" w:cs="仿宋_GB2312"/>
          <w:sz w:val="32"/>
          <w:szCs w:val="32"/>
          <w:lang w:val="en-US"/>
        </w:rPr>
      </w:pPr>
    </w:p>
    <w:p w14:paraId="387F0357">
      <w:pPr>
        <w:pStyle w:val="2"/>
        <w:spacing w:line="360" w:lineRule="auto"/>
        <w:rPr>
          <w:rFonts w:ascii="仿宋_GB2312" w:hAnsi="仿宋_GB2312" w:eastAsia="仿宋_GB2312" w:cs="仿宋_GB2312"/>
          <w:sz w:val="32"/>
          <w:szCs w:val="32"/>
          <w:lang w:val="en-US"/>
        </w:rPr>
      </w:pPr>
    </w:p>
    <w:p w14:paraId="0272C716">
      <w:pPr>
        <w:spacing w:before="120" w:beforeLines="50" w:line="360" w:lineRule="auto"/>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lang w:val="en-US"/>
        </w:rPr>
        <w:t>、</w:t>
      </w:r>
      <w:r>
        <w:rPr>
          <w:rFonts w:hint="eastAsia" w:ascii="仿宋_GB2312" w:hAnsi="仿宋_GB2312" w:eastAsia="仿宋_GB2312" w:cs="仿宋_GB2312"/>
          <w:b/>
          <w:bCs/>
          <w:sz w:val="32"/>
          <w:szCs w:val="32"/>
        </w:rPr>
        <w:t>授权委托书（</w:t>
      </w:r>
      <w:r>
        <w:rPr>
          <w:rFonts w:hint="eastAsia" w:ascii="仿宋_GB2312" w:hAnsi="仿宋_GB2312" w:eastAsia="仿宋_GB2312" w:cs="仿宋_GB2312"/>
          <w:sz w:val="32"/>
          <w:szCs w:val="32"/>
          <w:lang w:val="en-US"/>
        </w:rPr>
        <w:t>法人代表投标则无需提供）</w:t>
      </w:r>
    </w:p>
    <w:p w14:paraId="4D11F18F">
      <w:pPr>
        <w:spacing w:line="400" w:lineRule="exact"/>
        <w:rPr>
          <w:rFonts w:ascii="仿宋_GB2312" w:hAnsi="仿宋_GB2312" w:eastAsia="仿宋_GB2312" w:cs="仿宋_GB2312"/>
          <w:b/>
          <w:bCs/>
          <w:sz w:val="32"/>
          <w:szCs w:val="32"/>
        </w:rPr>
      </w:pPr>
    </w:p>
    <w:p w14:paraId="7885C167">
      <w:pPr>
        <w:spacing w:before="120" w:beforeLines="50" w:line="4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授权委托书</w:t>
      </w:r>
    </w:p>
    <w:p w14:paraId="0239F6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_GB2312" w:hAnsi="仿宋_GB2312" w:eastAsia="仿宋_GB2312" w:cs="仿宋_GB2312"/>
          <w:b/>
          <w:sz w:val="32"/>
          <w:szCs w:val="32"/>
        </w:rPr>
      </w:pPr>
    </w:p>
    <w:p w14:paraId="4357A2F5">
      <w:pPr>
        <w:autoSpaceDE/>
        <w:autoSpaceDN/>
        <w:spacing w:line="4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委托单位：                                                 </w:t>
      </w:r>
    </w:p>
    <w:p w14:paraId="59238992">
      <w:pPr>
        <w:tabs>
          <w:tab w:val="left" w:pos="5387"/>
        </w:tabs>
        <w:autoSpaceDE/>
        <w:autoSpaceDN/>
        <w:spacing w:line="4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法定代表人：                      </w:t>
      </w:r>
      <w:r>
        <w:rPr>
          <w:rFonts w:hint="eastAsia" w:ascii="仿宋_GB2312" w:hAnsi="仿宋_GB2312" w:eastAsia="仿宋_GB2312" w:cs="仿宋_GB2312"/>
          <w:bCs/>
          <w:sz w:val="32"/>
          <w:szCs w:val="32"/>
        </w:rPr>
        <w:tab/>
      </w:r>
      <w:r>
        <w:rPr>
          <w:rFonts w:hint="eastAsia" w:ascii="仿宋_GB2312" w:hAnsi="仿宋_GB2312" w:eastAsia="仿宋_GB2312" w:cs="仿宋_GB2312"/>
          <w:bCs/>
          <w:sz w:val="32"/>
          <w:szCs w:val="32"/>
        </w:rPr>
        <w:t xml:space="preserve">职务：                   </w:t>
      </w:r>
    </w:p>
    <w:p w14:paraId="058819EB">
      <w:pPr>
        <w:autoSpaceDE/>
        <w:autoSpaceDN/>
        <w:spacing w:line="4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代理人：                          身份证号：</w:t>
      </w:r>
    </w:p>
    <w:p w14:paraId="39D64DE3">
      <w:pPr>
        <w:tabs>
          <w:tab w:val="left" w:pos="5103"/>
        </w:tabs>
        <w:autoSpaceDE/>
        <w:autoSpaceDN/>
        <w:spacing w:line="4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代理人工作单位：                  </w:t>
      </w:r>
      <w:r>
        <w:rPr>
          <w:rFonts w:hint="eastAsia" w:ascii="仿宋_GB2312" w:hAnsi="仿宋_GB2312" w:eastAsia="仿宋_GB2312" w:cs="仿宋_GB2312"/>
          <w:bCs/>
          <w:sz w:val="32"/>
          <w:szCs w:val="32"/>
        </w:rPr>
        <w:tab/>
      </w:r>
      <w:r>
        <w:rPr>
          <w:rFonts w:hint="eastAsia" w:ascii="仿宋_GB2312" w:hAnsi="仿宋_GB2312" w:eastAsia="仿宋_GB2312" w:cs="仿宋_GB2312"/>
          <w:bCs/>
          <w:sz w:val="32"/>
          <w:szCs w:val="32"/>
        </w:rPr>
        <w:t xml:space="preserve">职务： </w:t>
      </w:r>
    </w:p>
    <w:p w14:paraId="07581A7D">
      <w:pPr>
        <w:autoSpaceDE/>
        <w:autoSpaceDN/>
        <w:spacing w:line="420" w:lineRule="exact"/>
        <w:ind w:firstLine="570"/>
        <w:rPr>
          <w:rFonts w:ascii="仿宋_GB2312" w:hAnsi="仿宋_GB2312" w:eastAsia="仿宋_GB2312" w:cs="仿宋_GB2312"/>
          <w:bCs/>
          <w:sz w:val="32"/>
          <w:szCs w:val="32"/>
        </w:rPr>
      </w:pPr>
    </w:p>
    <w:p w14:paraId="030FB17A">
      <w:pPr>
        <w:autoSpaceDE/>
        <w:autoSpaceDN/>
        <w:spacing w:line="4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兹授权上述代理人全权代表我公司前往</w:t>
      </w:r>
      <w:r>
        <w:rPr>
          <w:rFonts w:hint="eastAsia" w:ascii="仿宋_GB2312" w:hAnsi="仿宋_GB2312" w:eastAsia="仿宋_GB2312" w:cs="仿宋_GB2312"/>
          <w:sz w:val="32"/>
          <w:szCs w:val="32"/>
          <w:u w:val="single"/>
        </w:rPr>
        <w:t>海南航空控股股份有限公司</w:t>
      </w:r>
      <w:r>
        <w:rPr>
          <w:rFonts w:hint="eastAsia" w:ascii="仿宋_GB2312" w:hAnsi="仿宋_GB2312" w:eastAsia="仿宋_GB2312" w:cs="仿宋_GB2312"/>
          <w:sz w:val="32"/>
          <w:szCs w:val="32"/>
        </w:rPr>
        <w:t>处理以下事项，委托权限如下：</w:t>
      </w:r>
    </w:p>
    <w:p w14:paraId="2FE8FE0A">
      <w:pPr>
        <w:autoSpaceDE/>
        <w:autoSpaceDN/>
        <w:spacing w:line="4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参加招标会议，办理招标文件的领取、递交、更改、撤回、签署及办理投标保证金的缴纳、退回等事项。</w:t>
      </w:r>
    </w:p>
    <w:p w14:paraId="0FDCD69A">
      <w:pPr>
        <w:autoSpaceDE/>
        <w:autoSpaceDN/>
        <w:spacing w:line="4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合同（包括补充协议和其他附件）洽谈及签订；负责签署合同履约过程中的相关函件、会议纪要等文件，收发双方业务往来间的电子邮件、传真、快递等；处理有关异议处理等事项；办理款项结算、领取发票、收据等事项。</w:t>
      </w:r>
    </w:p>
    <w:p w14:paraId="142033A2">
      <w:pPr>
        <w:autoSpaceDE/>
        <w:autoSpaceDN/>
        <w:spacing w:line="4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代理人处理上述事项均代表我公司，与我公司的行为具有同等法律效力，我公司将承担上述代理人相关行为的全部法律后果和法律责任。代理人无权转委托。</w:t>
      </w:r>
    </w:p>
    <w:p w14:paraId="4D138310">
      <w:pPr>
        <w:autoSpaceDE/>
        <w:autoSpaceDN/>
        <w:spacing w:line="4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本授权委托书有效期限：自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6AF9F6B3">
      <w:pPr>
        <w:autoSpaceDE/>
        <w:autoSpaceDN/>
        <w:spacing w:line="420" w:lineRule="exact"/>
        <w:rPr>
          <w:rFonts w:ascii="仿宋_GB2312" w:hAnsi="仿宋_GB2312" w:eastAsia="仿宋_GB2312" w:cs="仿宋_GB2312"/>
          <w:sz w:val="32"/>
          <w:szCs w:val="32"/>
        </w:rPr>
      </w:pPr>
    </w:p>
    <w:p w14:paraId="4EF5A33A">
      <w:pPr>
        <w:autoSpaceDE/>
        <w:autoSpaceDN/>
        <w:spacing w:line="42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委托单位（盖章）：</w:t>
      </w:r>
    </w:p>
    <w:p w14:paraId="5D4F5FE2">
      <w:pPr>
        <w:autoSpaceDE/>
        <w:autoSpaceDN/>
        <w:spacing w:line="42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法定代表人（签字）：                代理人签字： </w:t>
      </w:r>
    </w:p>
    <w:p w14:paraId="6660CE22">
      <w:pPr>
        <w:autoSpaceDE/>
        <w:autoSpaceDN/>
        <w:spacing w:line="420" w:lineRule="exact"/>
        <w:jc w:val="right"/>
        <w:rPr>
          <w:rFonts w:ascii="仿宋_GB2312" w:hAnsi="仿宋_GB2312" w:eastAsia="仿宋_GB2312" w:cs="仿宋_GB2312"/>
          <w:sz w:val="32"/>
          <w:szCs w:val="32"/>
        </w:rPr>
      </w:pPr>
    </w:p>
    <w:p w14:paraId="0511B9C5">
      <w:pPr>
        <w:autoSpaceDE/>
        <w:autoSpaceDN/>
        <w:spacing w:line="420" w:lineRule="exact"/>
        <w:jc w:val="right"/>
        <w:rPr>
          <w:rFonts w:ascii="仿宋_GB2312" w:hAnsi="仿宋_GB2312" w:eastAsia="仿宋_GB2312" w:cs="仿宋_GB2312"/>
          <w:sz w:val="32"/>
          <w:szCs w:val="32"/>
        </w:rPr>
      </w:pPr>
    </w:p>
    <w:p w14:paraId="4CD9D699">
      <w:pPr>
        <w:autoSpaceDE/>
        <w:autoSpaceDN/>
        <w:spacing w:line="42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签发日：   年    月    日</w:t>
      </w:r>
    </w:p>
    <w:p w14:paraId="2744A8F8">
      <w:pPr>
        <w:pStyle w:val="8"/>
        <w:rPr>
          <w:rFonts w:ascii="仿宋_GB2312" w:hAnsi="仿宋_GB2312" w:eastAsia="仿宋_GB2312" w:cs="仿宋_GB2312"/>
          <w:sz w:val="32"/>
          <w:szCs w:val="32"/>
        </w:rPr>
      </w:pPr>
    </w:p>
    <w:p w14:paraId="35905CEC">
      <w:pPr>
        <w:rPr>
          <w:rFonts w:ascii="仿宋_GB2312" w:hAnsi="仿宋_GB2312" w:eastAsia="仿宋_GB2312" w:cs="仿宋_GB2312"/>
          <w:sz w:val="32"/>
          <w:szCs w:val="32"/>
        </w:rPr>
      </w:pPr>
    </w:p>
    <w:p w14:paraId="0B93AD6D">
      <w:pPr>
        <w:spacing w:before="120" w:beforeLines="50" w:line="360" w:lineRule="auto"/>
        <w:jc w:val="both"/>
        <w:rPr>
          <w:rFonts w:ascii="仿宋_GB2312" w:hAnsi="仿宋_GB2312" w:eastAsia="仿宋_GB2312" w:cs="仿宋_GB2312"/>
          <w:b/>
          <w:bCs/>
          <w:sz w:val="32"/>
          <w:szCs w:val="32"/>
          <w:lang w:val="en-US"/>
        </w:rPr>
      </w:pPr>
    </w:p>
    <w:p w14:paraId="66154FAA">
      <w:pPr>
        <w:spacing w:before="120" w:beforeLines="50" w:line="360" w:lineRule="auto"/>
        <w:ind w:firstLine="643" w:firstLineChars="200"/>
        <w:jc w:val="both"/>
        <w:rPr>
          <w:rFonts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lang w:val="en-US"/>
        </w:rPr>
        <w:t>、法人代表及被授权人身份证（法人代表投标则无需提供）</w:t>
      </w:r>
    </w:p>
    <w:p w14:paraId="17A061A3">
      <w:pPr>
        <w:spacing w:before="120" w:beforeLines="50" w:line="360" w:lineRule="auto"/>
        <w:jc w:val="center"/>
        <w:rPr>
          <w:rFonts w:ascii="仿宋_GB2312" w:hAnsi="仿宋_GB2312" w:eastAsia="仿宋_GB2312" w:cs="仿宋_GB2312"/>
          <w:b/>
          <w:bCs/>
          <w:sz w:val="32"/>
          <w:szCs w:val="32"/>
          <w:lang w:val="en-US"/>
        </w:rPr>
      </w:pPr>
    </w:p>
    <w:p w14:paraId="708E3F4A">
      <w:pPr>
        <w:spacing w:before="120" w:beforeLines="50" w:line="360" w:lineRule="auto"/>
        <w:jc w:val="center"/>
        <w:rPr>
          <w:rFonts w:ascii="仿宋_GB2312" w:hAnsi="仿宋_GB2312" w:eastAsia="仿宋_GB2312" w:cs="仿宋_GB2312"/>
          <w:b/>
          <w:bCs/>
          <w:sz w:val="32"/>
          <w:szCs w:val="32"/>
          <w:lang w:val="en-US"/>
        </w:rPr>
      </w:pPr>
    </w:p>
    <w:p w14:paraId="384E14DE">
      <w:pPr>
        <w:spacing w:before="120" w:beforeLines="50" w:line="360" w:lineRule="auto"/>
        <w:jc w:val="center"/>
        <w:rPr>
          <w:rFonts w:ascii="仿宋_GB2312" w:hAnsi="仿宋_GB2312" w:eastAsia="仿宋_GB2312" w:cs="仿宋_GB2312"/>
          <w:b/>
          <w:bCs/>
          <w:sz w:val="32"/>
          <w:szCs w:val="32"/>
          <w:lang w:val="en-US"/>
        </w:rPr>
      </w:pPr>
    </w:p>
    <w:p w14:paraId="59C8CD8B">
      <w:pPr>
        <w:spacing w:before="120" w:beforeLines="50" w:line="360" w:lineRule="auto"/>
        <w:jc w:val="center"/>
        <w:rPr>
          <w:rFonts w:ascii="仿宋_GB2312" w:hAnsi="仿宋_GB2312" w:eastAsia="仿宋_GB2312" w:cs="仿宋_GB2312"/>
          <w:b/>
          <w:bCs/>
          <w:sz w:val="32"/>
          <w:szCs w:val="32"/>
          <w:lang w:val="en-US"/>
        </w:rPr>
      </w:pPr>
    </w:p>
    <w:p w14:paraId="367D0469">
      <w:pPr>
        <w:spacing w:before="120" w:beforeLines="50" w:line="360" w:lineRule="auto"/>
        <w:jc w:val="center"/>
        <w:rPr>
          <w:rFonts w:ascii="仿宋_GB2312" w:hAnsi="仿宋_GB2312" w:eastAsia="仿宋_GB2312" w:cs="仿宋_GB2312"/>
          <w:b/>
          <w:bCs/>
          <w:sz w:val="32"/>
          <w:szCs w:val="32"/>
          <w:lang w:val="en-US"/>
        </w:rPr>
      </w:pPr>
    </w:p>
    <w:p w14:paraId="29257A25">
      <w:pPr>
        <w:spacing w:before="120" w:beforeLines="50" w:line="360" w:lineRule="auto"/>
        <w:jc w:val="center"/>
        <w:rPr>
          <w:rFonts w:ascii="仿宋_GB2312" w:hAnsi="仿宋_GB2312" w:eastAsia="仿宋_GB2312" w:cs="仿宋_GB2312"/>
          <w:b/>
          <w:bCs/>
          <w:sz w:val="32"/>
          <w:szCs w:val="32"/>
          <w:lang w:val="en-US"/>
        </w:rPr>
      </w:pPr>
    </w:p>
    <w:p w14:paraId="44CDA00D">
      <w:pPr>
        <w:spacing w:before="120" w:beforeLines="50" w:line="360" w:lineRule="auto"/>
        <w:jc w:val="center"/>
        <w:rPr>
          <w:rFonts w:ascii="仿宋_GB2312" w:hAnsi="仿宋_GB2312" w:eastAsia="仿宋_GB2312" w:cs="仿宋_GB2312"/>
          <w:b/>
          <w:bCs/>
          <w:sz w:val="32"/>
          <w:szCs w:val="32"/>
          <w:lang w:val="en-US"/>
        </w:rPr>
      </w:pPr>
    </w:p>
    <w:p w14:paraId="06B4504A">
      <w:pPr>
        <w:spacing w:before="120" w:beforeLines="50" w:line="360" w:lineRule="auto"/>
        <w:jc w:val="center"/>
        <w:rPr>
          <w:rFonts w:ascii="仿宋_GB2312" w:hAnsi="仿宋_GB2312" w:eastAsia="仿宋_GB2312" w:cs="仿宋_GB2312"/>
          <w:b/>
          <w:bCs/>
          <w:sz w:val="32"/>
          <w:szCs w:val="32"/>
          <w:lang w:val="en-US"/>
        </w:rPr>
      </w:pPr>
    </w:p>
    <w:p w14:paraId="5FDB731A">
      <w:pPr>
        <w:spacing w:before="120" w:beforeLines="50" w:line="360" w:lineRule="auto"/>
        <w:jc w:val="center"/>
        <w:rPr>
          <w:rFonts w:ascii="仿宋_GB2312" w:hAnsi="仿宋_GB2312" w:eastAsia="仿宋_GB2312" w:cs="仿宋_GB2312"/>
          <w:b/>
          <w:bCs/>
          <w:sz w:val="32"/>
          <w:szCs w:val="32"/>
          <w:lang w:val="en-US"/>
        </w:rPr>
      </w:pPr>
    </w:p>
    <w:p w14:paraId="6F0857EE">
      <w:pPr>
        <w:spacing w:before="120" w:beforeLines="50" w:line="360" w:lineRule="auto"/>
        <w:jc w:val="center"/>
        <w:rPr>
          <w:rFonts w:ascii="仿宋_GB2312" w:hAnsi="仿宋_GB2312" w:eastAsia="仿宋_GB2312" w:cs="仿宋_GB2312"/>
          <w:b/>
          <w:bCs/>
          <w:sz w:val="32"/>
          <w:szCs w:val="32"/>
          <w:lang w:val="en-US"/>
        </w:rPr>
      </w:pPr>
    </w:p>
    <w:p w14:paraId="021BDA1E">
      <w:pPr>
        <w:spacing w:before="120" w:beforeLines="50" w:line="360" w:lineRule="auto"/>
        <w:jc w:val="center"/>
        <w:rPr>
          <w:rFonts w:ascii="仿宋_GB2312" w:hAnsi="仿宋_GB2312" w:eastAsia="仿宋_GB2312" w:cs="仿宋_GB2312"/>
          <w:b/>
          <w:bCs/>
          <w:sz w:val="32"/>
          <w:szCs w:val="32"/>
          <w:lang w:val="en-US"/>
        </w:rPr>
      </w:pPr>
    </w:p>
    <w:p w14:paraId="071E03B9">
      <w:pPr>
        <w:spacing w:before="120" w:beforeLines="50" w:line="360" w:lineRule="auto"/>
        <w:jc w:val="center"/>
        <w:rPr>
          <w:rFonts w:ascii="仿宋_GB2312" w:hAnsi="仿宋_GB2312" w:eastAsia="仿宋_GB2312" w:cs="仿宋_GB2312"/>
          <w:b/>
          <w:bCs/>
          <w:sz w:val="32"/>
          <w:szCs w:val="32"/>
          <w:lang w:val="en-US"/>
        </w:rPr>
      </w:pPr>
    </w:p>
    <w:p w14:paraId="2B224F93">
      <w:pPr>
        <w:spacing w:before="120" w:beforeLines="50" w:line="360" w:lineRule="auto"/>
        <w:jc w:val="center"/>
        <w:rPr>
          <w:rFonts w:ascii="仿宋_GB2312" w:hAnsi="仿宋_GB2312" w:eastAsia="仿宋_GB2312" w:cs="仿宋_GB2312"/>
          <w:b/>
          <w:bCs/>
          <w:sz w:val="32"/>
          <w:szCs w:val="32"/>
          <w:lang w:val="en-US"/>
        </w:rPr>
      </w:pPr>
    </w:p>
    <w:p w14:paraId="27237870">
      <w:pPr>
        <w:spacing w:before="120" w:beforeLines="50" w:line="360" w:lineRule="auto"/>
        <w:jc w:val="center"/>
        <w:rPr>
          <w:rFonts w:ascii="仿宋_GB2312" w:hAnsi="仿宋_GB2312" w:eastAsia="仿宋_GB2312" w:cs="仿宋_GB2312"/>
          <w:b/>
          <w:bCs/>
          <w:sz w:val="32"/>
          <w:szCs w:val="32"/>
          <w:lang w:val="en-US"/>
        </w:rPr>
      </w:pPr>
    </w:p>
    <w:p w14:paraId="6FFCFC92">
      <w:pPr>
        <w:spacing w:before="120" w:beforeLines="50" w:line="360" w:lineRule="auto"/>
        <w:jc w:val="center"/>
        <w:rPr>
          <w:rFonts w:ascii="仿宋_GB2312" w:hAnsi="仿宋_GB2312" w:eastAsia="仿宋_GB2312" w:cs="仿宋_GB2312"/>
          <w:b/>
          <w:bCs/>
          <w:sz w:val="32"/>
          <w:szCs w:val="32"/>
          <w:lang w:val="en-US"/>
        </w:rPr>
      </w:pPr>
    </w:p>
    <w:p w14:paraId="44E48818">
      <w:pPr>
        <w:spacing w:before="120" w:beforeLines="50" w:line="360" w:lineRule="auto"/>
        <w:jc w:val="center"/>
        <w:rPr>
          <w:rFonts w:ascii="仿宋_GB2312" w:hAnsi="仿宋_GB2312" w:eastAsia="仿宋_GB2312" w:cs="仿宋_GB2312"/>
          <w:b/>
          <w:bCs/>
          <w:sz w:val="32"/>
          <w:szCs w:val="32"/>
          <w:lang w:val="en-US"/>
        </w:rPr>
      </w:pPr>
    </w:p>
    <w:p w14:paraId="50A264A0">
      <w:pPr>
        <w:rPr>
          <w:rFonts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br w:type="page"/>
      </w:r>
    </w:p>
    <w:p w14:paraId="0809DBED">
      <w:pPr>
        <w:spacing w:before="120" w:beforeLines="50" w:line="360" w:lineRule="auto"/>
        <w:ind w:firstLine="643" w:firstLineChars="200"/>
        <w:jc w:val="both"/>
        <w:rPr>
          <w:rFonts w:ascii="仿宋_GB2312" w:hAnsi="仿宋_GB2312" w:eastAsia="仿宋_GB2312" w:cs="仿宋_GB2312"/>
          <w:b/>
          <w:bCs/>
          <w:color w:val="000000"/>
          <w:sz w:val="32"/>
          <w:szCs w:val="32"/>
        </w:rPr>
      </w:pPr>
      <w:r>
        <w:rPr>
          <w:rFonts w:hint="eastAsia" w:ascii="仿宋_GB2312" w:hAnsi="仿宋_GB2312" w:eastAsia="仿宋_GB2312" w:cs="仿宋_GB2312"/>
          <w:b/>
          <w:bCs/>
          <w:sz w:val="32"/>
          <w:szCs w:val="32"/>
          <w:lang w:val="en-US"/>
        </w:rPr>
        <w:t>十、承诺书</w:t>
      </w:r>
      <w:bookmarkEnd w:id="0"/>
    </w:p>
    <w:p w14:paraId="2AC3CD13">
      <w:pPr>
        <w:widowControl/>
        <w:spacing w:line="50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承诺书</w:t>
      </w:r>
    </w:p>
    <w:p w14:paraId="13FF5419">
      <w:pPr>
        <w:widowControl/>
        <w:spacing w:line="500" w:lineRule="exact"/>
        <w:jc w:val="center"/>
        <w:rPr>
          <w:rFonts w:ascii="仿宋_GB2312" w:hAnsi="仿宋_GB2312" w:eastAsia="仿宋_GB2312" w:cs="仿宋_GB2312"/>
          <w:b/>
          <w:bCs/>
          <w:color w:val="000000"/>
          <w:sz w:val="32"/>
          <w:szCs w:val="32"/>
        </w:rPr>
      </w:pPr>
    </w:p>
    <w:p w14:paraId="190A1A7F">
      <w:pPr>
        <w:widowControl/>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u w:val="single"/>
        </w:rPr>
        <w:t>海南航空控股股份有限公司</w:t>
      </w:r>
      <w:r>
        <w:rPr>
          <w:rFonts w:hint="eastAsia" w:ascii="仿宋_GB2312" w:hAnsi="仿宋_GB2312" w:eastAsia="仿宋_GB2312" w:cs="仿宋_GB2312"/>
          <w:b/>
          <w:bCs/>
          <w:color w:val="000000"/>
          <w:sz w:val="32"/>
          <w:szCs w:val="32"/>
        </w:rPr>
        <w:t>：</w:t>
      </w:r>
    </w:p>
    <w:p w14:paraId="075A4A60">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我司自愿参与贵司202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国内航材陆运</w:t>
      </w:r>
      <w:r>
        <w:rPr>
          <w:rFonts w:hint="eastAsia" w:ascii="仿宋_GB2312" w:hAnsi="仿宋_GB2312" w:eastAsia="仿宋_GB2312" w:cs="仿宋_GB2312"/>
          <w:color w:val="000000"/>
          <w:sz w:val="32"/>
          <w:szCs w:val="32"/>
        </w:rPr>
        <w:t>服务项目的投标，现承诺如下：</w:t>
      </w:r>
    </w:p>
    <w:p w14:paraId="5D27D71D">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一、我司将遵循公平、公正、公开及诚实信用的原则参加本项目投（议）标，理解并接受贵公司的开标、评标、定标等相关规定。</w:t>
      </w:r>
    </w:p>
    <w:p w14:paraId="1136C42F">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二、我司按本项目招标公告要求提供的所有法人资料及有关材料均真实有效、合法持有，不存在失效、虚假的情况。</w:t>
      </w:r>
    </w:p>
    <w:p w14:paraId="790F326A">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三、严格遵守贵司的有关规定，投标中不围标、不串标、不泄标，以及不排挤其他投标人参与公平竞争。</w:t>
      </w:r>
    </w:p>
    <w:p w14:paraId="2006E356">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四、在本项目投标有效期之内不撤回投标，中标后在贵司规定的期限内签订合同，全面履行合同义务。</w:t>
      </w:r>
    </w:p>
    <w:p w14:paraId="23BF8415">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若违反上述承诺内容，我司自愿接受贵司处理（如：取消投标中标资格、</w:t>
      </w:r>
      <w:r>
        <w:rPr>
          <w:rFonts w:hint="eastAsia" w:ascii="仿宋_GB2312" w:hAnsi="仿宋_GB2312" w:eastAsia="仿宋_GB2312" w:cs="仿宋_GB2312"/>
          <w:color w:val="000000"/>
          <w:sz w:val="32"/>
          <w:szCs w:val="32"/>
          <w:u w:val="single"/>
        </w:rPr>
        <w:t>没收</w:t>
      </w:r>
      <w:r>
        <w:fldChar w:fldCharType="begin"/>
      </w:r>
      <w:r>
        <w:instrText xml:space="preserve"> HYPERLINK "http://zhidao.baidu.com/search?word=%E6%8A%95%E6%A0%87%E4%BF%9D%E8%AF%81%E9%87%91&amp;fr=qb_search_exp&amp;ie=utf8" </w:instrText>
      </w:r>
      <w:r>
        <w:fldChar w:fldCharType="separate"/>
      </w:r>
      <w:r>
        <w:rPr>
          <w:rFonts w:hint="eastAsia" w:ascii="仿宋_GB2312" w:hAnsi="仿宋_GB2312" w:eastAsia="仿宋_GB2312" w:cs="仿宋_GB2312"/>
          <w:color w:val="000000"/>
          <w:sz w:val="32"/>
          <w:szCs w:val="32"/>
          <w:u w:val="single"/>
        </w:rPr>
        <w:t>投标或履约保证金</w:t>
      </w:r>
      <w:r>
        <w:rPr>
          <w:rFonts w:hint="eastAsia" w:ascii="仿宋_GB2312" w:hAnsi="仿宋_GB2312" w:eastAsia="仿宋_GB2312" w:cs="仿宋_GB2312"/>
          <w:color w:val="000000"/>
          <w:sz w:val="32"/>
          <w:szCs w:val="32"/>
          <w:u w:val="single"/>
        </w:rPr>
        <w:fldChar w:fldCharType="end"/>
      </w:r>
      <w:r>
        <w:rPr>
          <w:rFonts w:hint="eastAsia" w:ascii="仿宋_GB2312" w:hAnsi="仿宋_GB2312" w:eastAsia="仿宋_GB2312" w:cs="仿宋_GB2312"/>
          <w:color w:val="000000"/>
          <w:sz w:val="32"/>
          <w:szCs w:val="32"/>
        </w:rPr>
        <w:t>），并承担由此造成贵司的经济损失赔偿及法律责任。</w:t>
      </w:r>
    </w:p>
    <w:p w14:paraId="0FA2F2DB">
      <w:pPr>
        <w:widowControl/>
        <w:spacing w:line="560" w:lineRule="exact"/>
        <w:ind w:left="2520"/>
        <w:rPr>
          <w:rFonts w:ascii="仿宋_GB2312" w:hAnsi="仿宋_GB2312" w:eastAsia="仿宋_GB2312" w:cs="仿宋_GB2312"/>
          <w:color w:val="000000"/>
          <w:sz w:val="32"/>
          <w:szCs w:val="32"/>
        </w:rPr>
      </w:pPr>
    </w:p>
    <w:p w14:paraId="3452A6F4">
      <w:pPr>
        <w:widowControl/>
        <w:spacing w:line="560" w:lineRule="exact"/>
        <w:ind w:left="2520"/>
        <w:rPr>
          <w:rFonts w:ascii="仿宋_GB2312" w:hAnsi="仿宋_GB2312" w:eastAsia="仿宋_GB2312" w:cs="仿宋_GB2312"/>
          <w:color w:val="000000"/>
          <w:sz w:val="32"/>
          <w:szCs w:val="32"/>
        </w:rPr>
      </w:pPr>
    </w:p>
    <w:p w14:paraId="43834CED">
      <w:pPr>
        <w:widowControl/>
        <w:spacing w:line="560" w:lineRule="exact"/>
        <w:ind w:left="252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承诺单位（公章）：</w:t>
      </w:r>
    </w:p>
    <w:p w14:paraId="01E0A733">
      <w:pPr>
        <w:widowControl/>
        <w:spacing w:line="560" w:lineRule="exact"/>
        <w:ind w:left="252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法定代表人或委托代理人（签名）：</w:t>
      </w:r>
    </w:p>
    <w:p w14:paraId="5A257B79">
      <w:pPr>
        <w:widowControl/>
        <w:spacing w:line="560" w:lineRule="exact"/>
        <w:ind w:left="252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日期： 年 月 日</w:t>
      </w:r>
    </w:p>
    <w:bookmarkEnd w:id="1"/>
    <w:p w14:paraId="2039F9FB">
      <w:pPr>
        <w:spacing w:line="360" w:lineRule="auto"/>
        <w:jc w:val="both"/>
        <w:rPr>
          <w:rFonts w:ascii="仿宋_GB2312" w:hAnsi="仿宋_GB2312" w:eastAsia="仿宋_GB2312" w:cs="仿宋_GB2312"/>
          <w:sz w:val="32"/>
          <w:szCs w:val="32"/>
        </w:rPr>
        <w:sectPr>
          <w:footerReference r:id="rId3" w:type="default"/>
          <w:pgSz w:w="11910" w:h="16840"/>
          <w:pgMar w:top="1520" w:right="800" w:bottom="1800" w:left="1060" w:header="650" w:footer="1619" w:gutter="0"/>
          <w:pgNumType w:chapStyle="1"/>
          <w:cols w:space="720" w:num="1"/>
        </w:sectPr>
      </w:pPr>
    </w:p>
    <w:p w14:paraId="36834036">
      <w:pPr>
        <w:pStyle w:val="2"/>
        <w:ind w:firstLine="643" w:firstLineChars="200"/>
        <w:jc w:val="both"/>
        <w:rPr>
          <w:rFonts w:ascii="仿宋_GB2312" w:hAnsi="仿宋_GB2312" w:eastAsia="仿宋_GB2312" w:cs="仿宋_GB2312"/>
          <w:sz w:val="32"/>
          <w:szCs w:val="32"/>
          <w:lang w:val="en-US"/>
        </w:rPr>
      </w:pPr>
      <w:bookmarkStart w:id="13" w:name="_Toc30388"/>
      <w:r>
        <w:rPr>
          <w:rFonts w:hint="eastAsia" w:ascii="仿宋_GB2312" w:hAnsi="仿宋_GB2312" w:eastAsia="仿宋_GB2312" w:cs="仿宋_GB2312"/>
          <w:sz w:val="32"/>
          <w:szCs w:val="32"/>
          <w:lang w:val="en-US"/>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US"/>
        </w:rPr>
        <w:t>、客户与供应商廉洁合规承诺书</w:t>
      </w:r>
    </w:p>
    <w:p w14:paraId="7863E757">
      <w:pPr>
        <w:widowControl/>
        <w:spacing w:line="600" w:lineRule="exact"/>
        <w:jc w:val="center"/>
        <w:rPr>
          <w:rFonts w:hint="eastAsia" w:ascii="仿宋_GB2312" w:hAnsi="仿宋_GB2312" w:eastAsia="仿宋_GB2312" w:cs="仿宋_GB2312"/>
          <w:b/>
          <w:bCs/>
          <w:sz w:val="32"/>
          <w:szCs w:val="32"/>
          <w:lang w:val="en-US"/>
        </w:rPr>
      </w:pPr>
    </w:p>
    <w:p w14:paraId="25E41056">
      <w:pPr>
        <w:widowControl/>
        <w:spacing w:line="600" w:lineRule="exact"/>
        <w:jc w:val="center"/>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客户与供应商廉洁合规承诺书</w:t>
      </w:r>
    </w:p>
    <w:p w14:paraId="3D891280">
      <w:pPr>
        <w:pStyle w:val="4"/>
      </w:pPr>
    </w:p>
    <w:p w14:paraId="760B5901">
      <w:pPr>
        <w:widowControl/>
        <w:spacing w:line="60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海南航空控股股份有限公司</w:t>
      </w:r>
      <w:r>
        <w:rPr>
          <w:rFonts w:hint="eastAsia" w:ascii="仿宋_GB2312" w:hAnsi="仿宋_GB2312" w:eastAsia="仿宋_GB2312" w:cs="仿宋_GB2312"/>
          <w:color w:val="000000"/>
          <w:sz w:val="32"/>
          <w:szCs w:val="32"/>
        </w:rPr>
        <w:t>：</w:t>
      </w:r>
    </w:p>
    <w:p w14:paraId="7D038700">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为践行企业社会责任，构建公平、公正的市场竞争环境，杜绝不正当交易，净化交易流程，遵循合规与廉洁自律准则，切实保护合作双方合法权益，我公司特承诺如下： </w:t>
      </w:r>
    </w:p>
    <w:p w14:paraId="15034925">
      <w:pPr>
        <w:widowControl/>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一、遵循商业道德、杜绝商业舞弊</w:t>
      </w:r>
    </w:p>
    <w:p w14:paraId="00E91E14">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1 \* GB4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㈠</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 xml:space="preserve"> 严格遵守《中华人民共和国反不正当竞争法》等相关法律法规，自觉遵守贵方有关合规与廉洁建设要求，主动接受相关部门的监督，坚决杜绝商业贿赂、利益输送等违法犯罪行为。</w:t>
      </w:r>
    </w:p>
    <w:p w14:paraId="5744690F">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2 \* GB4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㈡</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 xml:space="preserve"> 自我约束、自我管理，守合同、重信用，不参与围标串标、弄虚作假、骗取中标、干扰评标、违约毁约等违法行为。</w:t>
      </w:r>
    </w:p>
    <w:p w14:paraId="78D9C9AB">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3 \* GB4 \* MERGEFORMAT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㈢</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 xml:space="preserve"> 我公司提交的单位基本信息、包括但不限于项目负责人、技术负责人、从业资质和资格、业绩、财务状况、信誉等所有资料，均合法、真实、准确、有效，无任何伪造、虚假情形，并对所提供资料的真实性负责。</w:t>
      </w:r>
    </w:p>
    <w:p w14:paraId="415E5B79">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4 \* GB4</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㈣</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 xml:space="preserve"> 不以任何方式向贵方及贵方人员赠送任何形式的现金、礼品、支付凭证、消费卡和有价证券等，不宴请或邀请贵方及贵方人员参加高档娱乐消费、旅游等活动；不以任何形式报销贵单位的任何人以及亲友的各种票据及费用；不进行可能影响合作公平、公正的任何活动。</w:t>
      </w:r>
    </w:p>
    <w:p w14:paraId="49AE301A">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5 \* GB4</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㈤</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 xml:space="preserve"> 未经贵方同意，不为贵方人员提供专职或兼职的工作岗位或向贵方人员发放各种形式的薪酬、奖金、分红、回佣。</w:t>
      </w:r>
    </w:p>
    <w:p w14:paraId="5C42FE3B">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6 \* GB4 \* MERGEFORMAT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㈥</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 xml:space="preserve">不为贵方及贵方人员及其配偶、子女及其配偶和其他特定关系人（包括但不限于其他近亲属，下同）谋取不正当利益。 </w:t>
      </w:r>
    </w:p>
    <w:p w14:paraId="086C4906">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7 \* GB4 \* MERGEFORMAT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㈦</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 xml:space="preserve"> 不要求贵方人员为我方违规或越权开展相关工作，不向贵方人员直接或间接打听、询问办理业务过程中涉及贵方保密的信息。</w:t>
      </w:r>
    </w:p>
    <w:p w14:paraId="5133BEEE">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8 \* GB4 \* MERGEFORMAT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㈧</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 xml:space="preserve"> 未经书面同意，不向任何新闻媒体、第三人披露有关</w:t>
      </w:r>
      <w:r>
        <w:rPr>
          <w:rFonts w:hint="eastAsia" w:ascii="仿宋_GB2312" w:hAnsi="仿宋_GB2312" w:eastAsia="仿宋_GB2312" w:cs="仿宋_GB2312"/>
          <w:color w:val="000000"/>
          <w:sz w:val="32"/>
          <w:szCs w:val="32"/>
          <w:lang w:val="en-US"/>
        </w:rPr>
        <w:t>航空股份</w:t>
      </w:r>
      <w:r>
        <w:rPr>
          <w:rFonts w:hint="eastAsia" w:ascii="仿宋_GB2312" w:hAnsi="仿宋_GB2312" w:eastAsia="仿宋_GB2312" w:cs="仿宋_GB2312"/>
          <w:color w:val="000000"/>
          <w:sz w:val="32"/>
          <w:szCs w:val="32"/>
        </w:rPr>
        <w:t>及关联单位的人员关于商业道德方面的评价、信息，也不披露本承诺书内容及贵我双方具体商业合作的内容；有义务保护贵方所有商密信息。</w:t>
      </w:r>
    </w:p>
    <w:p w14:paraId="0839EF8F">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9 \* GB4 \* MERGEFORMAT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㈨</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 xml:space="preserve"> 不做出其他任何违反相关法律法规、规章、中国共产党纪律规定等行为。</w:t>
      </w:r>
    </w:p>
    <w:p w14:paraId="004BE4E7">
      <w:pPr>
        <w:widowControl/>
        <w:spacing w:line="60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二、处理方式</w:t>
      </w:r>
    </w:p>
    <w:p w14:paraId="5EA05882">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1 \* GB4</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㈠</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贵方及其人员如有违法、违规、违纪等不当行为的，我方承诺及时向贵方的监督部门进行投诉或举报。</w:t>
      </w:r>
    </w:p>
    <w:p w14:paraId="48593AD4">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2 \* GB4</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㈡</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我方及我方人员、我方利益相关方如有违反本承诺书任一承诺内容的行为，贵方可向我方进行反映、投诉以及举报，并有权依据具体情节对我方采取相关措施，包括但不限于：将我方及利益相关方列入贵方黑名单、给予我方及利益相关方禁入限制、终止贵方与我方及利益相关方业务合作关系、暂停支付相关合作款项、解除本承诺书出具前后贵方与我方及利益相关方签署的且届时仍有效的任何合同、协议或其他文件等，并保留通过法律途径依法追究我方及我方人员、我方利益相关方责任的权利，因此造成的贵方损失均由我方全额承担，对于情节严重的，贵方有权移送司法机关处置。</w:t>
      </w:r>
    </w:p>
    <w:p w14:paraId="170E443B">
      <w:pPr>
        <w:widowControl/>
        <w:spacing w:line="60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三、监督部门合规举报渠道</w:t>
      </w:r>
    </w:p>
    <w:p w14:paraId="42B98C88">
      <w:pPr>
        <w:widowControl/>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1 \* GB4</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㈠</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贵方举报渠道</w:t>
      </w:r>
    </w:p>
    <w:p w14:paraId="015FA1F9">
      <w:pPr>
        <w:widowControl/>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举报电话：0898-69965380 手机：18811217104</w:t>
      </w:r>
    </w:p>
    <w:p w14:paraId="75CD9230">
      <w:pPr>
        <w:widowControl/>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举报信箱：hkgfsjjcb@hnair.com</w:t>
      </w:r>
    </w:p>
    <w:p w14:paraId="2FB019EE">
      <w:pPr>
        <w:widowControl/>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信函寄送地址：海南省海口市美兰区美兰机场路9号海南航空海口美兰基地</w:t>
      </w:r>
      <w:r>
        <w:rPr>
          <w:rFonts w:hint="eastAsia" w:ascii="仿宋_GB2312" w:hAnsi="仿宋_GB2312" w:eastAsia="仿宋_GB2312" w:cs="仿宋_GB2312"/>
          <w:color w:val="auto"/>
          <w:sz w:val="32"/>
          <w:szCs w:val="32"/>
          <w:lang w:eastAsia="zh-CN"/>
        </w:rPr>
        <w:t>海技楼</w:t>
      </w:r>
      <w:r>
        <w:rPr>
          <w:rFonts w:hint="eastAsia" w:ascii="仿宋_GB2312" w:hAnsi="仿宋_GB2312" w:eastAsia="仿宋_GB2312" w:cs="仿宋_GB2312"/>
          <w:color w:val="auto"/>
          <w:sz w:val="32"/>
          <w:szCs w:val="32"/>
        </w:rPr>
        <w:t>，海南航空控股股份有限公司审计监察部总经理（收），邮编：570203。</w:t>
      </w:r>
    </w:p>
    <w:p w14:paraId="7A65F8E7">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㈡ 我方举报渠道</w:t>
      </w:r>
    </w:p>
    <w:p w14:paraId="5769BC97">
      <w:pPr>
        <w:widowControl/>
        <w:spacing w:line="600" w:lineRule="exact"/>
        <w:ind w:firstLine="640" w:firstLineChars="200"/>
        <w:rPr>
          <w:rFonts w:ascii="仿宋_GB2312" w:hAnsi="仿宋_GB2312" w:eastAsia="仿宋_GB2312" w:cs="仿宋_GB2312"/>
          <w:color w:val="000000"/>
          <w:sz w:val="32"/>
          <w:szCs w:val="32"/>
          <w:u w:val="single"/>
          <w:lang w:val="en-US"/>
        </w:rPr>
      </w:pPr>
      <w:r>
        <w:rPr>
          <w:rFonts w:hint="eastAsia" w:ascii="仿宋_GB2312" w:hAnsi="仿宋_GB2312" w:eastAsia="仿宋_GB2312" w:cs="仿宋_GB2312"/>
          <w:color w:val="000000"/>
          <w:sz w:val="32"/>
          <w:szCs w:val="32"/>
        </w:rPr>
        <w:t>举报邮箱：</w:t>
      </w:r>
      <w:r>
        <w:rPr>
          <w:rFonts w:hint="eastAsia" w:ascii="仿宋_GB2312" w:hAnsi="仿宋_GB2312" w:eastAsia="仿宋_GB2312" w:cs="仿宋_GB2312"/>
          <w:color w:val="000000"/>
          <w:sz w:val="32"/>
          <w:szCs w:val="32"/>
          <w:u w:val="single"/>
          <w:lang w:val="en-US"/>
        </w:rPr>
        <w:t xml:space="preserve">                </w:t>
      </w:r>
    </w:p>
    <w:p w14:paraId="2D507FE1">
      <w:pPr>
        <w:widowControl/>
        <w:spacing w:line="600"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举报电话：</w:t>
      </w:r>
      <w:r>
        <w:rPr>
          <w:rFonts w:hint="eastAsia" w:ascii="仿宋_GB2312" w:hAnsi="仿宋_GB2312" w:eastAsia="仿宋_GB2312" w:cs="仿宋_GB2312"/>
          <w:color w:val="000000"/>
          <w:sz w:val="32"/>
          <w:szCs w:val="32"/>
          <w:u w:val="single"/>
          <w:lang w:val="en-US"/>
        </w:rPr>
        <w:t xml:space="preserve">                </w:t>
      </w:r>
    </w:p>
    <w:p w14:paraId="18DE130C">
      <w:pPr>
        <w:widowControl/>
        <w:spacing w:line="600" w:lineRule="exact"/>
        <w:ind w:firstLine="640" w:firstLineChars="200"/>
        <w:rPr>
          <w:rFonts w:ascii="仿宋_GB2312" w:hAnsi="仿宋_GB2312" w:eastAsia="仿宋_GB2312" w:cs="仿宋_GB2312"/>
          <w:color w:val="000000"/>
          <w:sz w:val="32"/>
          <w:szCs w:val="32"/>
          <w:u w:val="single"/>
          <w:lang w:val="en-US"/>
        </w:rPr>
      </w:pPr>
      <w:r>
        <w:rPr>
          <w:rFonts w:hint="eastAsia" w:ascii="仿宋_GB2312" w:hAnsi="仿宋_GB2312" w:eastAsia="仿宋_GB2312" w:cs="仿宋_GB2312"/>
          <w:color w:val="000000"/>
          <w:sz w:val="32"/>
          <w:szCs w:val="32"/>
        </w:rPr>
        <w:t>信函寄送地址：</w:t>
      </w:r>
      <w:r>
        <w:rPr>
          <w:rFonts w:hint="eastAsia" w:ascii="仿宋_GB2312" w:hAnsi="仿宋_GB2312" w:eastAsia="仿宋_GB2312" w:cs="仿宋_GB2312"/>
          <w:color w:val="000000"/>
          <w:sz w:val="32"/>
          <w:szCs w:val="32"/>
          <w:u w:val="single"/>
          <w:lang w:val="en-US"/>
        </w:rPr>
        <w:t xml:space="preserve">            </w:t>
      </w:r>
    </w:p>
    <w:p w14:paraId="79E11EA5">
      <w:pPr>
        <w:widowControl/>
        <w:spacing w:line="600" w:lineRule="exact"/>
        <w:ind w:firstLine="640" w:firstLineChars="200"/>
        <w:rPr>
          <w:rFonts w:ascii="仿宋_GB2312" w:hAnsi="仿宋_GB2312" w:eastAsia="仿宋_GB2312" w:cs="仿宋_GB2312"/>
          <w:color w:val="000000"/>
          <w:sz w:val="32"/>
          <w:szCs w:val="32"/>
        </w:rPr>
      </w:pPr>
    </w:p>
    <w:p w14:paraId="649F3D82">
      <w:pPr>
        <w:widowControl/>
        <w:spacing w:line="600" w:lineRule="exact"/>
        <w:ind w:firstLine="640" w:firstLineChars="200"/>
        <w:jc w:val="right"/>
        <w:rPr>
          <w:rFonts w:ascii="仿宋_GB2312" w:hAnsi="仿宋_GB2312" w:eastAsia="仿宋_GB2312" w:cs="仿宋_GB2312"/>
          <w:color w:val="000000"/>
          <w:sz w:val="32"/>
          <w:szCs w:val="32"/>
        </w:rPr>
      </w:pPr>
    </w:p>
    <w:p w14:paraId="65724673">
      <w:pPr>
        <w:widowControl/>
        <w:wordWrap w:val="0"/>
        <w:spacing w:line="600" w:lineRule="exact"/>
        <w:ind w:firstLine="4400" w:firstLineChars="1375"/>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承诺方（公章/签字）： </w:t>
      </w:r>
    </w:p>
    <w:p w14:paraId="4673FEB0">
      <w:pPr>
        <w:widowControl/>
        <w:spacing w:line="600" w:lineRule="exact"/>
        <w:ind w:firstLine="320" w:firstLineChars="10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rPr>
        <w:t xml:space="preserve">           </w:t>
      </w:r>
      <w:r>
        <w:rPr>
          <w:rFonts w:hint="eastAsia" w:ascii="仿宋_GB2312" w:hAnsi="仿宋_GB2312" w:eastAsia="仿宋_GB2312" w:cs="仿宋_GB2312"/>
          <w:color w:val="000000"/>
          <w:sz w:val="32"/>
          <w:szCs w:val="32"/>
        </w:rPr>
        <w:t xml:space="preserve">日期： </w:t>
      </w:r>
      <w:r>
        <w:rPr>
          <w:rFonts w:hint="eastAsia" w:ascii="仿宋_GB2312" w:hAnsi="仿宋_GB2312" w:eastAsia="仿宋_GB2312" w:cs="仿宋_GB2312"/>
          <w:color w:val="000000"/>
          <w:sz w:val="32"/>
          <w:szCs w:val="32"/>
          <w:lang w:val="en-US"/>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rPr>
        <w:t xml:space="preserve">   </w:t>
      </w:r>
      <w:r>
        <w:rPr>
          <w:rFonts w:hint="eastAsia" w:ascii="仿宋_GB2312" w:hAnsi="仿宋_GB2312" w:eastAsia="仿宋_GB2312" w:cs="仿宋_GB2312"/>
          <w:color w:val="000000"/>
          <w:sz w:val="32"/>
          <w:szCs w:val="32"/>
        </w:rPr>
        <w:t>日</w:t>
      </w:r>
      <w:bookmarkEnd w:id="13"/>
    </w:p>
    <w:p w14:paraId="6FB463A3">
      <w:pPr>
        <w:pStyle w:val="4"/>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运输管理手册</w:t>
      </w:r>
    </w:p>
    <w:p w14:paraId="386717BF">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（一）安全运输管理章节</w:t>
      </w:r>
    </w:p>
    <w:p w14:paraId="359BD0D1">
      <w:pPr>
        <w:ind w:firstLine="640" w:firstLineChars="200"/>
        <w:rPr>
          <w:rFonts w:hint="eastAsia" w:ascii="仿宋_GB2312" w:hAnsi="仿宋_GB2312" w:eastAsia="仿宋_GB2312" w:cs="仿宋_GB2312"/>
          <w:b w:val="0"/>
          <w:bCs w:val="0"/>
          <w:sz w:val="32"/>
          <w:szCs w:val="32"/>
          <w:lang w:val="en-US" w:eastAsia="zh-CN"/>
        </w:rPr>
      </w:pPr>
    </w:p>
    <w:p w14:paraId="3306BA43">
      <w:pPr>
        <w:ind w:firstLine="640" w:firstLineChars="200"/>
        <w:rPr>
          <w:rFonts w:hint="eastAsia" w:ascii="仿宋_GB2312" w:hAnsi="仿宋_GB2312" w:eastAsia="仿宋_GB2312" w:cs="仿宋_GB2312"/>
          <w:b w:val="0"/>
          <w:bCs w:val="0"/>
          <w:sz w:val="32"/>
          <w:szCs w:val="32"/>
          <w:lang w:val="en-US" w:eastAsia="zh-CN"/>
        </w:rPr>
      </w:pPr>
    </w:p>
    <w:p w14:paraId="7A9C5257">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（二）安全运输培训章节</w:t>
      </w:r>
    </w:p>
    <w:p w14:paraId="469AD7CF">
      <w:pPr>
        <w:ind w:firstLine="640" w:firstLineChars="200"/>
        <w:rPr>
          <w:rFonts w:hint="eastAsia" w:ascii="仿宋_GB2312" w:hAnsi="仿宋_GB2312" w:eastAsia="仿宋_GB2312" w:cs="仿宋_GB2312"/>
          <w:b w:val="0"/>
          <w:bCs w:val="0"/>
          <w:sz w:val="32"/>
          <w:szCs w:val="32"/>
          <w:lang w:val="en-US" w:eastAsia="zh-CN"/>
        </w:rPr>
      </w:pPr>
    </w:p>
    <w:p w14:paraId="50A70F36">
      <w:pPr>
        <w:ind w:firstLine="640" w:firstLineChars="200"/>
        <w:rPr>
          <w:rFonts w:hint="eastAsia" w:ascii="仿宋_GB2312" w:hAnsi="仿宋_GB2312" w:eastAsia="仿宋_GB2312" w:cs="仿宋_GB2312"/>
          <w:b w:val="0"/>
          <w:bCs w:val="0"/>
          <w:sz w:val="32"/>
          <w:szCs w:val="32"/>
          <w:lang w:val="en-US" w:eastAsia="zh-CN"/>
        </w:rPr>
      </w:pPr>
    </w:p>
    <w:p w14:paraId="49C462BC">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（三）安全培训记录/培训现场截图</w:t>
      </w:r>
    </w:p>
    <w:p w14:paraId="61639C4E">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br w:type="page"/>
      </w:r>
    </w:p>
    <w:p w14:paraId="5B1017F3">
      <w:pPr>
        <w:pStyle w:val="4"/>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十三、海航系航司或其他国内外航司书面表彰文件</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3FD06">
    <w:pPr>
      <w:pStyle w:val="6"/>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8C7A87">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08C7A87">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CC927">
    <w:pPr>
      <w:pStyle w:val="4"/>
      <w:spacing w:line="14" w:lineRule="auto"/>
      <w:rPr>
        <w:sz w:val="20"/>
      </w:rP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9631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6315" cy="139700"/>
                      </a:xfrm>
                      <a:prstGeom prst="rect">
                        <a:avLst/>
                      </a:prstGeom>
                      <a:noFill/>
                      <a:ln>
                        <a:noFill/>
                      </a:ln>
                    </wps:spPr>
                    <wps:txbx>
                      <w:txbxContent>
                        <w:p w14:paraId="64A1348B">
                          <w:pPr>
                            <w:spacing w:line="220" w:lineRule="exact"/>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25</w:t>
                          </w:r>
                          <w:r>
                            <w:rPr>
                              <w:sz w:val="18"/>
                            </w:rPr>
                            <w:fldChar w:fldCharType="end"/>
                          </w:r>
                          <w:r>
                            <w:rPr>
                              <w:sz w:val="18"/>
                            </w:rPr>
                            <w:t xml:space="preserve"> 页</w:t>
                          </w:r>
                        </w:p>
                      </w:txbxContent>
                    </wps:txbx>
                    <wps:bodyPr lIns="0" tIns="0" rIns="0" bIns="0" upright="1"/>
                  </wps:wsp>
                </a:graphicData>
              </a:graphic>
            </wp:anchor>
          </w:drawing>
        </mc:Choice>
        <mc:Fallback>
          <w:pict>
            <v:shape id="_x0000_s1026" o:spid="_x0000_s1026" o:spt="202" type="#_x0000_t202" style="position:absolute;left:0pt;margin-top:0pt;height:11pt;width:78.45pt;mso-position-horizontal:center;mso-position-horizontal-relative:margin;z-index:251659264;mso-width-relative:page;mso-height-relative:page;" filled="f" stroked="f" coordsize="21600,21600" o:gfxdata="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Aen5dQAAAAEAQAADwAAAAAAAAABACAAAAAiAAAAZHJzL2Rvd25yZXYueG1sUEsBAhQAFAAA&#10;AAgAh07iQNwXrHq6AQAAcQMAAA4AAAAAAAAAAQAgAAAAIwEAAGRycy9lMm9Eb2MueG1sUEsFBgAA&#10;AAAGAAYAWQEAAE8FAAAAAA==&#10;">
              <v:fill on="f" focussize="0,0"/>
              <v:stroke on="f"/>
              <v:imagedata o:title=""/>
              <o:lock v:ext="edit" aspectratio="f"/>
              <v:textbox inset="0mm,0mm,0mm,0mm">
                <w:txbxContent>
                  <w:p w14:paraId="64A1348B">
                    <w:pPr>
                      <w:spacing w:line="220" w:lineRule="exact"/>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OTI0NGFmMzNkNTgwZGJkMWI5YjhhZWRhMmNiYjQifQ=="/>
    <w:docVar w:name="KSO_WPS_MARK_KEY" w:val="9aa5b09b-450e-45fa-b2d2-71343ae2e50e"/>
  </w:docVars>
  <w:rsids>
    <w:rsidRoot w:val="49AE3B19"/>
    <w:rsid w:val="00193109"/>
    <w:rsid w:val="00196F5C"/>
    <w:rsid w:val="006B3311"/>
    <w:rsid w:val="007D70E4"/>
    <w:rsid w:val="009A47B1"/>
    <w:rsid w:val="009B5250"/>
    <w:rsid w:val="00AE7C87"/>
    <w:rsid w:val="00BF014D"/>
    <w:rsid w:val="00C742FC"/>
    <w:rsid w:val="00CD2C3A"/>
    <w:rsid w:val="02BF2958"/>
    <w:rsid w:val="06BB2A68"/>
    <w:rsid w:val="0BD77DF4"/>
    <w:rsid w:val="0BDE6348"/>
    <w:rsid w:val="11A34081"/>
    <w:rsid w:val="159D26B3"/>
    <w:rsid w:val="16B30C59"/>
    <w:rsid w:val="1FDF0B8E"/>
    <w:rsid w:val="231B14A5"/>
    <w:rsid w:val="23662CEA"/>
    <w:rsid w:val="25E11B11"/>
    <w:rsid w:val="27A779C8"/>
    <w:rsid w:val="2E951725"/>
    <w:rsid w:val="2ED243CD"/>
    <w:rsid w:val="2FF731BF"/>
    <w:rsid w:val="30063F66"/>
    <w:rsid w:val="31047AC8"/>
    <w:rsid w:val="31F47866"/>
    <w:rsid w:val="3505113E"/>
    <w:rsid w:val="356C0894"/>
    <w:rsid w:val="39EE12B4"/>
    <w:rsid w:val="3AE82818"/>
    <w:rsid w:val="3B0D2711"/>
    <w:rsid w:val="49AE3B19"/>
    <w:rsid w:val="4A436557"/>
    <w:rsid w:val="4CF973FB"/>
    <w:rsid w:val="4E53313B"/>
    <w:rsid w:val="4F0E5443"/>
    <w:rsid w:val="4F82750C"/>
    <w:rsid w:val="547B00B0"/>
    <w:rsid w:val="58C54C0B"/>
    <w:rsid w:val="5E0B7B79"/>
    <w:rsid w:val="5E9B4000"/>
    <w:rsid w:val="614F3247"/>
    <w:rsid w:val="631367BE"/>
    <w:rsid w:val="6D8827FF"/>
    <w:rsid w:val="6E4F1086"/>
    <w:rsid w:val="74F3703A"/>
    <w:rsid w:val="76545938"/>
    <w:rsid w:val="79C646A3"/>
    <w:rsid w:val="7A19600A"/>
    <w:rsid w:val="7D95244F"/>
    <w:rsid w:val="7E380BD4"/>
    <w:rsid w:val="7F1B4CB4"/>
    <w:rsid w:val="7FC74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qFormat/>
    <w:uiPriority w:val="1"/>
    <w:pPr>
      <w:ind w:right="276"/>
      <w:jc w:val="center"/>
      <w:outlineLvl w:val="1"/>
    </w:pPr>
    <w:rPr>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rPr>
      <w:sz w:val="21"/>
      <w:szCs w:val="21"/>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toc 1"/>
    <w:basedOn w:val="1"/>
    <w:next w:val="1"/>
    <w:unhideWhenUsed/>
    <w:qFormat/>
    <w:uiPriority w:val="39"/>
  </w:style>
  <w:style w:type="paragraph" w:styleId="9">
    <w:name w:val="annotation subject"/>
    <w:basedOn w:val="3"/>
    <w:next w:val="3"/>
    <w:link w:val="16"/>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styleId="14">
    <w:name w:val="annotation reference"/>
    <w:basedOn w:val="12"/>
    <w:qFormat/>
    <w:uiPriority w:val="0"/>
    <w:rPr>
      <w:sz w:val="21"/>
      <w:szCs w:val="21"/>
    </w:rPr>
  </w:style>
  <w:style w:type="character" w:customStyle="1" w:styleId="15">
    <w:name w:val="批注文字 字符"/>
    <w:basedOn w:val="12"/>
    <w:link w:val="3"/>
    <w:qFormat/>
    <w:uiPriority w:val="0"/>
    <w:rPr>
      <w:rFonts w:ascii="宋体" w:hAnsi="宋体" w:cs="宋体"/>
      <w:sz w:val="22"/>
      <w:szCs w:val="22"/>
      <w:lang w:val="zh-CN" w:bidi="zh-CN"/>
    </w:rPr>
  </w:style>
  <w:style w:type="character" w:customStyle="1" w:styleId="16">
    <w:name w:val="批注主题 字符"/>
    <w:basedOn w:val="15"/>
    <w:link w:val="9"/>
    <w:qFormat/>
    <w:uiPriority w:val="0"/>
    <w:rPr>
      <w:rFonts w:ascii="宋体" w:hAnsi="宋体" w:cs="宋体"/>
      <w:b/>
      <w:bCs/>
      <w:sz w:val="22"/>
      <w:szCs w:val="22"/>
      <w:lang w:val="zh-CN" w:bidi="zh-CN"/>
    </w:rPr>
  </w:style>
  <w:style w:type="character" w:customStyle="1" w:styleId="17">
    <w:name w:val="批注框文本 字符"/>
    <w:basedOn w:val="12"/>
    <w:link w:val="5"/>
    <w:qFormat/>
    <w:uiPriority w:val="0"/>
    <w:rPr>
      <w:rFonts w:ascii="宋体" w:hAnsi="宋体" w:cs="宋体"/>
      <w:sz w:val="18"/>
      <w:szCs w:val="18"/>
      <w:lang w:val="zh-CN" w:bidi="zh-CN"/>
    </w:rPr>
  </w:style>
  <w:style w:type="paragraph" w:customStyle="1" w:styleId="18">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8976</Words>
  <Characters>9337</Characters>
  <Lines>62</Lines>
  <Paragraphs>17</Paragraphs>
  <TotalTime>19</TotalTime>
  <ScaleCrop>false</ScaleCrop>
  <LinksUpToDate>false</LinksUpToDate>
  <CharactersWithSpaces>9697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2023-03-02T10:04:00Z</dcterms:created>
  <dc:creator>黄徐斌</dc:creator>
  <cp:lastModifiedBy>chengj.cai</cp:lastModifiedBy>
  <dcterms:modified xsi:type="dcterms:W3CDTF">2025-04-27T08:46:50Z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9FFD8A5F7D2549CEBA5539F51DF04000</vt:lpwstr>
  </property>
  <property fmtid="{D5CDD505-2E9C-101B-9397-08002B2CF9AE}" pid="4" name="KSOTemplateDocerSaveRecord">
    <vt:lpwstr>eyJoZGlkIjoiNTIwOTI0NGFmMzNkNTgwZGJkMWI5YjhhZWRhMmNiYjQifQ==</vt:lpwstr>
  </property>
</Properties>
</file>